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ai-4/7</w:t>
      </w:r>
    </w:p>
    <w:p>
      <w:pPr>
        <w:pStyle w:val="Title"/>
      </w:pPr>
      <w:r>
        <w:t>Sampling and Intended Use</w:t>
      </w:r>
    </w:p>
    <w:p>
      <w:r>
        <w:t>Project: Responsible Plant Classifier</w:t>
      </w:r>
    </w:p>
    <w:p>
      <w:pPr>
        <w:pStyle w:val="Heading1"/>
      </w:pPr>
      <w:r>
        <w:t>Before you start</w:t>
      </w:r>
    </w:p>
    <w:p>
      <w:r>
        <w:t>AI-2 Week 19: compare the sample with the intended population.</w:t>
      </w:r>
    </w:p>
    <w:p>
      <w:pPr>
        <w:pStyle w:val="Heading1"/>
      </w:pPr>
      <w:r>
        <w:t>01. Your mission</w:t>
      </w:r>
    </w:p>
    <w:p>
      <w:pPr>
        <w:pStyle w:val="Heading3"/>
      </w:pPr>
      <w:r>
        <w:t>Your learning target</w:t>
      </w:r>
    </w:p>
    <w:p>
      <w:r>
        <w:t>I can inspect row meaning missing values and repeated records.</w:t>
      </w:r>
    </w:p>
    <w:p>
      <w:r>
        <w:t>I can document dataset source schema and limitations.</w:t>
      </w:r>
    </w:p>
    <w:p>
      <w:r>
        <w:t>I can separate observed quality flags from justified corrections.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Label Quality. Give an example and a mistake that the idea helps you avoid.</w:t>
      </w:r>
    </w:p>
    <w:p>
      <w:r>
        <w:t>Without opening the old lesson, explain one key idea from Python and Table Readiness. Give an example and a mistake that the idea helps you avoid.</w:t>
      </w:r>
    </w:p>
    <w:p>
      <w:r>
        <w:t>Without opening the old lesson, explain one key idea from The ML Lifecycle. Give an example and a mistake that the idea helps you avoid.</w:t>
      </w:r>
    </w:p>
    <w:p>
      <w:r>
        <w:t>After trying, check the relevant lesson or ask your teacher. Change the part of your explanation that the evidence shows was wrong.</w:t>
      </w:r>
    </w:p>
    <w:p>
      <w:r>
        <w:t>Training examples should represent the people, objects, conditions, and devices described by the intended-use statement.</w:t>
      </w:r>
    </w:p>
    <w:p>
      <w:r>
        <w:drawing>
          <wp:inline xmlns:a="http://schemas.openxmlformats.org/drawingml/2006/main" xmlns:pic="http://schemas.openxmlformats.org/drawingml/2006/picture">
            <wp:extent cx="2942705" cy="2942705"/>
            <wp:docPr id="1" name="Picture 1" descr="AI-4 Week 7 illustration: Sampling and Intended Use"/>
            <wp:cNvGraphicFramePr>
              <a:graphicFrameLocks noChangeAspect="1"/>
            </wp:cNvGraphicFramePr>
            <a:graphic>
              <a:graphicData uri="http://schemas.openxmlformats.org/drawingml/2006/picture">
                <pic:pic>
                  <pic:nvPicPr>
                    <pic:cNvPr id="0" name="274ef633aa111080968a7c1274fc2275a54c488666b740741bf248d7a58ed49f.png"/>
                    <pic:cNvPicPr/>
                  </pic:nvPicPr>
                  <pic:blipFill>
                    <a:blip r:embed="rId9"/>
                    <a:stretch>
                      <a:fillRect/>
                    </a:stretch>
                  </pic:blipFill>
                  <pic:spPr>
                    <a:xfrm>
                      <a:off x="0" y="0"/>
                      <a:ext cx="2942705" cy="2942705"/>
                    </a:xfrm>
                    <a:prstGeom prst="rect"/>
                  </pic:spPr>
                </pic:pic>
              </a:graphicData>
            </a:graphic>
          </wp:inline>
        </w:drawing>
      </w:r>
    </w:p>
    <w:p>
      <w:r>
        <w:t>LEARNING TARGET  Training uses indoor photos from one phone; deployment uses outdoor photos from several phones. Specify two evaluation slices and explain why adding more indoor photos may not resolve the gap.</w:t>
      </w:r>
    </w:p>
    <w:p>
      <w:r>
        <w:t>Builder name and experiment date:</w:t>
      </w:r>
    </w:p>
    <w:p>
      <w:pPr>
        <w:pStyle w:val="Heading3"/>
      </w:pPr>
      <w:r>
        <w:t>Readiness for the connected explanation</w:t>
      </w:r>
    </w:p>
    <w:p>
      <w:r>
        <w:t>Why is elapsed trip duration in minutes a regression target even when recorded as whole numbers?</w:t>
      </w:r>
    </w:p>
    <w:p>
      <w:pPr>
        <w:pStyle w:val="Heading3"/>
      </w:pPr>
      <w:r>
        <w:t>This week’s end goal</w:t>
      </w:r>
    </w:p>
    <w:p>
      <w:r>
        <w:t>By the end, I can explain sampling and intended use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7 illustration: Sampling and Intended Use"/>
            <wp:cNvGraphicFramePr>
              <a:graphicFrameLocks noChangeAspect="1"/>
            </wp:cNvGraphicFramePr>
            <a:graphic>
              <a:graphicData uri="http://schemas.openxmlformats.org/drawingml/2006/picture">
                <pic:pic>
                  <pic:nvPicPr>
                    <pic:cNvPr id="0" name="274ef633aa111080968a7c1274fc2275a54c488666b740741bf248d7a58ed49f.png"/>
                    <pic:cNvPicPr/>
                  </pic:nvPicPr>
                  <pic:blipFill>
                    <a:blip r:embed="rId9"/>
                    <a:stretch>
                      <a:fillRect/>
                    </a:stretch>
                  </pic:blipFill>
                  <pic:spPr>
                    <a:xfrm>
                      <a:off x="0" y="0"/>
                      <a:ext cx="2942705" cy="2942705"/>
                    </a:xfrm>
                    <a:prstGeom prst="rect"/>
                  </pic:spPr>
                </pic:pic>
              </a:graphicData>
            </a:graphic>
          </wp:inline>
        </w:drawing>
      </w:r>
    </w:p>
    <w:p>
      <w:r>
        <w:t>MYSTERY  The team must use sampling and intended use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r>
        <w:t>Keep this raw version unchanged. At this stage a flag means investigate, not automatically delete or replace. A repeated ID might be a copied row or a problem with the supposed one-row-per-trip definition. We need evidence before deciding what happened.</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7 machine-learning flow stage 1"/>
            <wp:cNvGraphicFramePr>
              <a:graphicFrameLocks noChangeAspect="1"/>
            </wp:cNvGraphicFramePr>
            <a:graphic>
              <a:graphicData uri="http://schemas.openxmlformats.org/drawingml/2006/picture">
                <pic:pic>
                  <pic:nvPicPr>
                    <pic:cNvPr id="0" name="8c6402f5c6fd1363213635666e51719d69a658a4fd94416e1a62f212f1e9a2c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7 machine-learning flow stage 2"/>
            <wp:cNvGraphicFramePr>
              <a:graphicFrameLocks noChangeAspect="1"/>
            </wp:cNvGraphicFramePr>
            <a:graphic>
              <a:graphicData uri="http://schemas.openxmlformats.org/drawingml/2006/picture">
                <pic:pic>
                  <pic:nvPicPr>
                    <pic:cNvPr id="0" name="975b5e32df57a58c0920d5b4784ada2906231229cc08360990f3b929f932787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7 machine-learning flow stage 3"/>
            <wp:cNvGraphicFramePr>
              <a:graphicFrameLocks noChangeAspect="1"/>
            </wp:cNvGraphicFramePr>
            <a:graphic>
              <a:graphicData uri="http://schemas.openxmlformats.org/drawingml/2006/picture">
                <pic:pic>
                  <pic:nvPicPr>
                    <pic:cNvPr id="0" name="2c013634500a13f6296bdd81d13ca008779e0851adce1c7eedc5dba843a74ed8.png"/>
                    <pic:cNvPicPr/>
                  </pic:nvPicPr>
                  <pic:blipFill>
                    <a:blip r:embed="rId12"/>
                    <a:stretch>
                      <a:fillRect/>
                    </a:stretch>
                  </pic:blipFill>
                  <pic:spPr>
                    <a:xfrm>
                      <a:off x="0" y="0"/>
                      <a:ext cx="5237018" cy="3200400"/>
                    </a:xfrm>
                    <a:prstGeom prst="rect"/>
                  </pic:spPr>
                </pic:pic>
              </a:graphicData>
            </a:graphic>
          </wp:inline>
        </w:drawing>
      </w:r>
    </w:p>
    <w:p>
      <w:r>
        <w:t>QUESTION  Compare two samples against a deployment population and identify missing conditions.</w:t>
      </w:r>
    </w:p>
    <w:p>
      <w:r>
        <w:t>MODEL IDEA  Training examples should represent the people, objects, conditions, and devices described by the intended-use statement.</w:t>
      </w:r>
    </w:p>
    <w:p>
      <w:r>
        <w:t>PROOF NEEDED  Use an unseen case, visible calculation, error analysis, and a stated limitation.</w:t>
      </w:r>
    </w:p>
    <w:p>
      <w:r>
        <w:t>UNDER THE HOOD  Intended use includes indoor classroom plants under day and evening light. Sample A has 90% daylight photos from one camera.</w:t>
      </w:r>
    </w:p>
    <w:p>
      <w:r>
        <w:t>Draw a fresh data → model → prediction → evaluation trace:</w:t>
      </w:r>
    </w:p>
    <w:p>
      <w:pPr>
        <w:pStyle w:val="Heading3"/>
      </w:pPr>
      <w:r>
        <w:t>A closer explanation</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Collect 12 more midday windowsill photos of the same plants.</w:t>
      </w:r>
    </w:p>
    <w:p>
      <w:r>
        <w:t>Prediction: The evening-coverage gap remains.</w:t>
      </w:r>
    </w:p>
    <w:p>
      <w:r>
        <w:t>Reason: More rows in the same condition do not supply evidence about the missing condition.</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population, full group the product may encounter"/>
            <wp:cNvGraphicFramePr>
              <a:graphicFrameLocks noChangeAspect="1"/>
            </wp:cNvGraphicFramePr>
            <a:graphic>
              <a:graphicData uri="http://schemas.openxmlformats.org/drawingml/2006/picture">
                <pic:pic>
                  <pic:nvPicPr>
                    <pic:cNvPr id="0" name="a1e8e9efeca7acb3a1f6b200fc46d7ac8294fdf52fd9348e6c062eaee1fb14e6.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sample, examples selected from that population"/>
            <wp:cNvGraphicFramePr>
              <a:graphicFrameLocks noChangeAspect="1"/>
            </wp:cNvGraphicFramePr>
            <a:graphic>
              <a:graphicData uri="http://schemas.openxmlformats.org/drawingml/2006/picture">
                <pic:pic>
                  <pic:nvPicPr>
                    <pic:cNvPr id="0" name="704d06d6012760f43442594c1d406f08be95649208a7202d41954b1fb07f8d3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epresentation, coverage of relevant conditions"/>
            <wp:cNvGraphicFramePr>
              <a:graphicFrameLocks noChangeAspect="1"/>
            </wp:cNvGraphicFramePr>
            <a:graphic>
              <a:graphicData uri="http://schemas.openxmlformats.org/drawingml/2006/picture">
                <pic:pic>
                  <pic:nvPicPr>
                    <pic:cNvPr id="0" name="ca07e2a271c48f2145e2ffdb5e20bdcb615b9f36eb930eea0c42fcbbf941260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intended use, specific approved purpose and setting"/>
            <wp:cNvGraphicFramePr>
              <a:graphicFrameLocks noChangeAspect="1"/>
            </wp:cNvGraphicFramePr>
            <a:graphic>
              <a:graphicData uri="http://schemas.openxmlformats.org/drawingml/2006/picture">
                <pic:pic>
                  <pic:nvPicPr>
                    <pic:cNvPr id="0" name="eb88708a7fb39353acf12fc04f13c5dcb88d1f1554e4b30fdfb4a68e7ae36781.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population</w:t>
            </w:r>
          </w:p>
        </w:tc>
        <w:tc>
          <w:tcPr>
            <w:tcW w:type="dxa" w:w="3408"/>
          </w:tcPr>
          <w:p>
            <w:r>
              <w:t>full group the product may encounter</w:t>
            </w:r>
          </w:p>
        </w:tc>
        <w:tc>
          <w:tcPr>
            <w:tcW w:type="dxa" w:w="3408"/>
          </w:tcPr>
          <w:p>
            <w:r/>
          </w:p>
        </w:tc>
      </w:tr>
      <w:tr>
        <w:tc>
          <w:tcPr>
            <w:tcW w:type="dxa" w:w="3408"/>
          </w:tcPr>
          <w:p>
            <w:r>
              <w:t>sample</w:t>
            </w:r>
          </w:p>
        </w:tc>
        <w:tc>
          <w:tcPr>
            <w:tcW w:type="dxa" w:w="3408"/>
          </w:tcPr>
          <w:p>
            <w:r>
              <w:t>examples selected from that population</w:t>
            </w:r>
          </w:p>
        </w:tc>
        <w:tc>
          <w:tcPr>
            <w:tcW w:type="dxa" w:w="3408"/>
          </w:tcPr>
          <w:p>
            <w:r/>
          </w:p>
        </w:tc>
      </w:tr>
      <w:tr>
        <w:tc>
          <w:tcPr>
            <w:tcW w:type="dxa" w:w="3408"/>
          </w:tcPr>
          <w:p>
            <w:r>
              <w:t>representation</w:t>
            </w:r>
          </w:p>
        </w:tc>
        <w:tc>
          <w:tcPr>
            <w:tcW w:type="dxa" w:w="3408"/>
          </w:tcPr>
          <w:p>
            <w:r>
              <w:t>coverage of relevant conditions</w:t>
            </w:r>
          </w:p>
        </w:tc>
        <w:tc>
          <w:tcPr>
            <w:tcW w:type="dxa" w:w="3408"/>
          </w:tcPr>
          <w:p>
            <w:r/>
          </w:p>
        </w:tc>
      </w:tr>
      <w:tr>
        <w:tc>
          <w:tcPr>
            <w:tcW w:type="dxa" w:w="3408"/>
          </w:tcPr>
          <w:p>
            <w:r>
              <w:t>intended use</w:t>
            </w:r>
          </w:p>
        </w:tc>
        <w:tc>
          <w:tcPr>
            <w:tcW w:type="dxa" w:w="3408"/>
          </w:tcPr>
          <w:p>
            <w:r>
              <w:t>specific approved purpose and setting</w:t>
            </w:r>
          </w:p>
        </w:tc>
        <w:tc>
          <w:tcPr>
            <w:tcW w:type="dxa" w:w="3408"/>
          </w:tcPr>
          <w:p>
            <w:r/>
          </w:p>
        </w:tc>
      </w:tr>
    </w:tbl>
    <w:p>
      <w:r>
        <w:t>MISCONCEPTION TO REPAIR  A large dataset is representative simply because it contains many examples.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7: Sampling and Intended Use"/>
            <wp:cNvGraphicFramePr>
              <a:graphicFrameLocks noChangeAspect="1"/>
            </wp:cNvGraphicFramePr>
            <a:graphic>
              <a:graphicData uri="http://schemas.openxmlformats.org/drawingml/2006/picture">
                <pic:pic>
                  <pic:nvPicPr>
                    <pic:cNvPr id="0" name="9540810dc0635d86ec326576e5f4925f6e6b4cd5a355f5573105a9aa01521b41.png"/>
                    <pic:cNvPicPr/>
                  </pic:nvPicPr>
                  <pic:blipFill>
                    <a:blip r:embed="rId21"/>
                    <a:stretch>
                      <a:fillRect/>
                    </a:stretch>
                  </pic:blipFill>
                  <pic:spPr>
                    <a:xfrm>
                      <a:off x="0" y="0"/>
                      <a:ext cx="5486400" cy="2523744"/>
                    </a:xfrm>
                    <a:prstGeom prst="rect"/>
                  </pic:spPr>
                </pic:pic>
              </a:graphicData>
            </a:graphic>
          </wp:inline>
        </w:drawing>
      </w:r>
    </w:p>
    <w:p>
      <w:r>
        <w:t>STEP 1  Intended use includes indoor classroom plants under day and evening light.</w:t>
      </w:r>
    </w:p>
    <w:p>
      <w:r>
        <w:t>STEP 2  Sample A has 90% daylight photos from one camera.</w:t>
      </w:r>
    </w:p>
    <w:p>
      <w:r>
        <w:t>STEP 3  Sample B balances lighting, camera distance, and several plant types.</w:t>
      </w:r>
    </w:p>
    <w:p>
      <w:r>
        <w:t>STEP 4  Prefer B for this use, while documenting remaining gaps rather than claiming universal coverage.</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Intended Use</w:t>
      </w:r>
    </w:p>
    <w:p>
      <w:r>
        <w:t>Sample for the conditions in which the plant classifier will actually be used.</w:t>
      </w:r>
    </w:p>
    <w:p>
      <w:pPr>
        <w:pStyle w:val="Heading3"/>
      </w:pPr>
      <w:r>
        <w:t>The facts we will use</w:t>
      </w:r>
    </w:p>
    <w:p>
      <w:r>
        <w:t>Training set: 12 windowsill plants photographed at midday. Intended use includes evening desk photos; no evening examples have been collected.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5" name="Picture 15"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22"/>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coverage</w:t>
            </w:r>
          </w:p>
        </w:tc>
        <w:tc>
          <w:tcPr>
            <w:tcW w:type="dxa" w:w="5112"/>
          </w:tcPr>
          <w:p>
            <w:r>
              <w:t>All 12 training examples share one lighting situation.</w:t>
            </w:r>
          </w:p>
        </w:tc>
      </w:tr>
      <w:tr>
        <w:tc>
          <w:tcPr>
            <w:tcW w:type="dxa" w:w="5112"/>
          </w:tcPr>
          <w:p>
            <w:r>
              <w:t>2. Identify gap</w:t>
            </w:r>
          </w:p>
        </w:tc>
        <w:tc>
          <w:tcPr>
            <w:tcW w:type="dxa" w:w="5112"/>
          </w:tcPr>
          <w:p>
            <w:r>
              <w:t>Evening desk lighting is outside the observed sampling conditions.</w:t>
            </w:r>
          </w:p>
        </w:tc>
      </w:tr>
      <w:tr>
        <w:tc>
          <w:tcPr>
            <w:tcW w:type="dxa" w:w="5112"/>
          </w:tcPr>
          <w:p>
            <w:r>
              <w:t>3. Plan comparison</w:t>
            </w:r>
          </w:p>
        </w:tc>
        <w:tc>
          <w:tcPr>
            <w:tcW w:type="dxa" w:w="5112"/>
          </w:tcPr>
          <w:p>
            <w:r>
              <w:t>Collect consented fictional or teacher-created evening examples; keep plant groups separate across development and final evaluation.</w:t>
            </w:r>
          </w:p>
        </w:tc>
      </w:tr>
    </w:tbl>
    <w:p>
      <w:r>
        <w:t>Match each pictured step to the supplied facts. This is a worked teaching case, not an independent assessment.</w:t>
      </w:r>
    </w:p>
    <w:p>
      <w:pPr>
        <w:pStyle w:val="Heading3"/>
      </w:pPr>
      <w:r>
        <w:t>Why this result follows</w:t>
      </w:r>
    </w:p>
    <w:p>
      <w:r>
        <w:t>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Condition coverage reduces a known gap but does not guarantee accuracy; test the selected model on fresh intended-use examples.</w:t>
      </w:r>
    </w:p>
    <w:p>
      <w:r>
        <w:t>Read the labelled picture: Which collection would address the intended-use gap most directly? Point to the relevant step in the picture, then write the changed result and the rule or evidence that supports it.</w:t>
      </w:r>
    </w:p>
    <w:p>
      <w:r>
        <w:t>Change one thing: Collect 12 more midday windowsill photos of the same plants.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7"/>
            <wp:cNvGraphicFramePr>
              <a:graphicFrameLocks noChangeAspect="1"/>
            </wp:cNvGraphicFramePr>
            <a:graphic>
              <a:graphicData uri="http://schemas.openxmlformats.org/drawingml/2006/picture">
                <pic:pic>
                  <pic:nvPicPr>
                    <pic:cNvPr id="0" name="a97714ff82998d82ad17530337021c00323652437a7b7fbe39e9f9af52b1d4b3.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large dataset is representative simply because it contains many examples.</w:t>
      </w:r>
    </w:p>
    <w:p>
      <w:r>
        <w:t>Diagnose one cause and name the cleanest next experiment:</w:t>
      </w:r>
    </w:p>
    <w:p>
      <w:pPr>
        <w:pStyle w:val="Heading3"/>
      </w:pPr>
      <w:r>
        <w:t>A closer explanation</w:t>
      </w:r>
    </w:p>
    <w:p>
      <w:r>
        <w:t>A complete-looking card does not prove the table is accurate or suitable for a model. It makes claims and unanswered questions reviewable. Report raw counts separately from any later accepted subset, with explicit rules for missing, invalid and repeated records. Do not silently change denominators after cleaning.</w:t>
      </w:r>
    </w:p>
    <w:p>
      <w:r>
        <w:t>For this exercise, zero is allowed and unknown is not zero. That is a stated schema choice, not a universal rule for all duration datasets. 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replaces both None values with 0 and removes the negative sign from -2. The table now passes a simple nonnegative check, but those edits invent durations. Keep the original values, record the reason for each flag, and check the source. If a correction is supported, save a new version with the original value, corrected value and reason. If not, keep the uncertainty visible.</w:t>
      </w:r>
    </w:p>
    <w:p>
      <w:r>
        <w:t>Another learner says all robot trips are covered because every row says indoor. A dataset card should instead state that outdoor trips are absent and that the data is fictional. Extra copies of existing rows do not create new conditions or new independent evidence.</w:t>
      </w:r>
    </w:p>
    <w:p>
      <w:pPr>
        <w:pStyle w:val="Heading3"/>
      </w:pPr>
      <w:r>
        <w:t>Practise with less help: Interpret the audit counts</w:t>
      </w:r>
    </w:p>
    <w:p>
      <w:r>
        <w:t>Use workbook W2 for the connected example “Dataset inspection and cards”.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inspection and cards. Proposed explanation: “A complete card certifies data quality”.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collection would address the intended-use gap most directly?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7"/>
            <wp:cNvGraphicFramePr>
              <a:graphicFrameLocks noChangeAspect="1"/>
            </wp:cNvGraphicFramePr>
            <a:graphic>
              <a:graphicData uri="http://schemas.openxmlformats.org/drawingml/2006/picture">
                <pic:pic>
                  <pic:nvPicPr>
                    <pic:cNvPr id="0" name="291f6f8f69967d3f14ab05f04b1a46235b8bbd069cb6bce7b6dc03007d08ea9e.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Sampling Audit: compare condition percentages, map them to intended use, and propose the smallest justified collection plan.</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population, sample, representation, intended use.</w:t>
      </w:r>
    </w:p>
    <w:p>
      <w:r>
        <w:t>CALCULATE  Reproduce the worked evidence with units and denominator.</w:t>
      </w:r>
    </w:p>
    <w:p>
      <w:r>
        <w:t>TRACE  Explain the data, code or decision path.</w:t>
      </w:r>
    </w:p>
    <w:p>
      <w:r>
        <w:t>DIAGNOSE  A large dataset is representative simply because it contains many examples.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7"/>
            <wp:cNvGraphicFramePr>
              <a:graphicFrameLocks noChangeAspect="1"/>
            </wp:cNvGraphicFramePr>
            <a:graphic>
              <a:graphicData uri="http://schemas.openxmlformats.org/drawingml/2006/picture">
                <pic:pic>
                  <pic:nvPicPr>
                    <pic:cNvPr id="0" name="9c0dfc8f70a0c7bb03f8da1220ceca2bc871957d4b89e9b3550015fb47bf4dc3.png"/>
                    <pic:cNvPicPr/>
                  </pic:nvPicPr>
                  <pic:blipFill>
                    <a:blip r:embed="rId27"/>
                    <a:stretch>
                      <a:fillRect/>
                    </a:stretch>
                  </pic:blipFill>
                  <pic:spPr>
                    <a:xfrm>
                      <a:off x="0" y="0"/>
                      <a:ext cx="5486400" cy="2048256"/>
                    </a:xfrm>
                    <a:prstGeom prst="rect"/>
                  </pic:spPr>
                </pic:pic>
              </a:graphicData>
            </a:graphic>
          </wp:inline>
        </w:drawing>
      </w:r>
    </w:p>
    <w:p>
      <w:r>
        <w:t>THIS WEEK'S CHECKPOINT  Freeze the Plant Classifier intended-use statement and a coverage table for species, lighting, camera, and health class.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7"/>
            <wp:cNvGraphicFramePr>
              <a:graphicFrameLocks noChangeAspect="1"/>
            </wp:cNvGraphicFramePr>
            <a:graphic>
              <a:graphicData uri="http://schemas.openxmlformats.org/drawingml/2006/picture">
                <pic:pic>
                  <pic:nvPicPr>
                    <pic:cNvPr id="0" name="1174fc8c6b827f750a566998aab161131f7a07b64248156b3620234137db9de9.png"/>
                    <pic:cNvPicPr/>
                  </pic:nvPicPr>
                  <pic:blipFill>
                    <a:blip r:embed="rId28"/>
                    <a:stretch>
                      <a:fillRect/>
                    </a:stretch>
                  </pic:blipFill>
                  <pic:spPr>
                    <a:xfrm>
                      <a:off x="0" y="0"/>
                      <a:ext cx="5486400" cy="2048256"/>
                    </a:xfrm>
                    <a:prstGeom prst="rect"/>
                  </pic:spPr>
                </pic:pic>
              </a:graphicData>
            </a:graphic>
          </wp:inline>
        </w:drawing>
      </w:r>
    </w:p>
    <w:p>
      <w:r>
        <w:t>REQUIRED PROOF  Compare two samples against a deployment population and identify missing conditions.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Leakage.</w:t>
      </w:r>
    </w:p>
    <w:p>
      <w:pPr>
        <w:pStyle w:val="Heading1"/>
      </w:pPr>
      <w:r>
        <w:t>13. Study a complete case</w:t>
      </w:r>
    </w:p>
    <w:p>
      <w:pPr>
        <w:pStyle w:val="Heading3"/>
      </w:pPr>
      <w:r>
        <w:t>Week 7 Worked case</w:t>
      </w:r>
    </w:p>
    <w:p>
      <w:r>
        <w:t>Use the supplied details to practise the weekly concept before attempting the independent question. This case extends the illustrated lesson.</w:t>
      </w:r>
    </w:p>
    <w:p>
      <w:pPr>
        <w:pStyle w:val="Heading3"/>
      </w:pPr>
      <w:r>
        <w:t>The situation</w:t>
      </w:r>
    </w:p>
    <w:p>
      <w:r>
        <w:t>Training photos use indoor white backgrounds; intended use is outdoors.</w:t>
      </w:r>
    </w:p>
    <w:p>
      <w:pPr>
        <w:pStyle w:val="Heading3"/>
      </w:pPr>
      <w:r>
        <w:t>The question</w:t>
      </w:r>
    </w:p>
    <w:p>
      <w:r>
        <w:t>Identify the coverage gap.</w:t>
      </w:r>
    </w:p>
    <w:p>
      <w:pPr>
        <w:pStyle w:val="Heading3"/>
      </w:pPr>
      <w:r>
        <w:t>Worked explanation</w:t>
      </w:r>
    </w:p>
    <w:p>
      <w:r>
        <w:t>Lighting, background and device conditions may differ. Collect representative examples and evaluate outdoor slices separately.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Match data coverage to intended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Training</w:t>
            </w:r>
          </w:p>
        </w:tc>
        <w:tc>
          <w:tcPr>
            <w:tcW w:type="dxa" w:w="5112"/>
          </w:tcPr>
          <w:p>
            <w:r>
              <w:t>Indoor white backgrounds</w:t>
            </w:r>
          </w:p>
        </w:tc>
      </w:tr>
      <w:tr>
        <w:tc>
          <w:tcPr>
            <w:tcW w:type="dxa" w:w="5112"/>
          </w:tcPr>
          <w:p>
            <w:r>
              <w:t>Intended use</w:t>
            </w:r>
          </w:p>
        </w:tc>
        <w:tc>
          <w:tcPr>
            <w:tcW w:type="dxa" w:w="5112"/>
          </w:tcPr>
          <w:p>
            <w:r>
              <w:t>Outdoor plants</w:t>
            </w:r>
          </w:p>
        </w:tc>
      </w:tr>
      <w:tr>
        <w:tc>
          <w:tcPr>
            <w:tcW w:type="dxa" w:w="5112"/>
          </w:tcPr>
          <w:p>
            <w:r>
              <w:t>Possible shift</w:t>
            </w:r>
          </w:p>
        </w:tc>
        <w:tc>
          <w:tcPr>
            <w:tcW w:type="dxa" w:w="5112"/>
          </w:tcPr>
          <w:p>
            <w:r>
              <w:t>Lighting, background and device</w:t>
            </w:r>
          </w:p>
        </w:tc>
      </w:tr>
      <w:tr>
        <w:tc>
          <w:tcPr>
            <w:tcW w:type="dxa" w:w="5112"/>
          </w:tcPr>
          <w:p>
            <w:r>
              <w:t>Evaluation</w:t>
            </w:r>
          </w:p>
        </w:tc>
        <w:tc>
          <w:tcPr>
            <w:tcW w:type="dxa" w:w="5112"/>
          </w:tcPr>
          <w:p>
            <w:r>
              <w:t>Inspect outdoor cases separately</w:t>
            </w:r>
          </w:p>
        </w:tc>
      </w:tr>
    </w:tbl>
    <w:p>
      <w:r>
        <w:t>Training photos use indoor white backgrounds; intended use is outdoors.</w:t>
      </w:r>
    </w:p>
    <w:p>
      <w:r>
        <w:t>Identify the coverage gap.</w:t>
      </w:r>
    </w:p>
    <w:p>
      <w:r>
        <w:t>Lighting, background and device conditions may differ. Collect representative examples and evaluate outdoor slices separately.</w:t>
      </w:r>
    </w:p>
    <w:p>
      <w:pPr>
        <w:pStyle w:val="Heading1"/>
      </w:pPr>
      <w:r>
        <w:t>14. Try a new case independently</w:t>
      </w:r>
    </w:p>
    <w:p>
      <w:pPr>
        <w:pStyle w:val="Heading3"/>
      </w:pPr>
      <w:r>
        <w:t>Independent case: Changed independent case</w:t>
      </w:r>
    </w:p>
    <w:p>
      <w:r>
        <w:t>Training plant photos are all indoors on one phone. Intended use includes outdoor photos on other cameras. Plan a sampling check before making a general accuracy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7 Independent application</w:t>
      </w:r>
    </w:p>
    <w:p>
      <w:r>
        <w:t>Close the worked explanation. Apply the idea to this different question without copying.</w:t>
      </w:r>
    </w:p>
    <w:p>
      <w:r>
        <w:t>Training photographs all show mature plants in bright light, but intended users photograph seedlings indoors. What claim is unsupported and what data is needed?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Freeze the Plant Classifier intended-use statement and a coverage table for species, lighting, camera, and health class.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uses indoor photos from one phone; deployment uses outdoor photos from several phones. Specify two evaluation slices and explain why adding more indoor photos may not resolve the gap.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Sample for the conditions in which the plant classifier will actually be used.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Inspect row meaning missing values and repeated records</w:t>
            </w:r>
          </w:p>
        </w:tc>
        <w:tc>
          <w:tcPr>
            <w:tcW w:type="dxa" w:w="5112"/>
          </w:tcPr>
          <w:p>
            <w:r>
              <w:t>Explain the deciding step, show a trace or test, and state one limit.</w:t>
            </w:r>
          </w:p>
        </w:tc>
      </w:tr>
      <w:tr>
        <w:tc>
          <w:tcPr>
            <w:tcW w:type="dxa" w:w="5112"/>
          </w:tcPr>
          <w:p>
            <w:r>
              <w:t>Document dataset source schema and limitations</w:t>
            </w:r>
          </w:p>
        </w:tc>
        <w:tc>
          <w:tcPr>
            <w:tcW w:type="dxa" w:w="5112"/>
          </w:tcPr>
          <w:p>
            <w:r>
              <w:t>Explain the deciding step, show a trace or test, and state one limit.</w:t>
            </w:r>
          </w:p>
        </w:tc>
      </w:tr>
      <w:tr>
        <w:tc>
          <w:tcPr>
            <w:tcW w:type="dxa" w:w="5112"/>
          </w:tcPr>
          <w:p>
            <w:r>
              <w:t>Separate observed quality flags from justified corrections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Inspect row meaning missing values and repeated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Sample for the conditions in which the plant classifier will actually be used.</w:t>
      </w:r>
    </w:p>
    <w:p>
      <w:pPr>
        <w:pStyle w:val="Heading3"/>
      </w:pPr>
      <w:r>
        <w:t>Practice 1: explain the deciding evidence</w:t>
      </w:r>
    </w:p>
    <w:p>
      <w:r>
        <w:t>Which labelled step matches this detail? Collect consented fictional or teacher-created evening examples; keep plant groups separate across development and final evaluation.</w:t>
      </w:r>
    </w:p>
    <w:p>
      <w:r>
        <w:t>1. Identify gap</w:t>
      </w:r>
    </w:p>
    <w:p>
      <w:r>
        <w:t>2. Declare coverage</w:t>
      </w:r>
    </w:p>
    <w:p>
      <w:r>
        <w:t>3. Plan comparison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Plan comparison Collect consented fictional or teacher-created evening examples; keep plant groups separate across development and final evaluation. 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Collect 12 more midday windowsill photos of the same plants. Which conclusion is supported by the supplied facts?</w:t>
      </w:r>
    </w:p>
    <w:p>
      <w:r>
        <w:t>1. This one example guarantees correct results for every future input.</w:t>
      </w:r>
    </w:p>
    <w:p>
      <w:r>
        <w:t>2. We can decide the result without examining the changed input or the procedure.</w:t>
      </w:r>
    </w:p>
    <w:p>
      <w:r>
        <w:t>3. The evening-coverage gap remains.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evening-coverage gap remains. More rows in the same condition do not supply evidence about the missing condition.</w:t>
      </w:r>
    </w:p>
    <w:p>
      <w:pPr>
        <w:pStyle w:val="Heading3"/>
      </w:pPr>
      <w:r>
        <w:t>Repair a missing building block</w:t>
      </w:r>
    </w:p>
    <w:p>
      <w:r>
        <w:t>Review Label Quality (ai-4/6). Goal: Write an observable label rule with boundaries and a review option. Short practice: Why should two annotators not vote away Z’s missing evidence? Point to the relevant step in the picture, then write the changed result and the rule or evidence that supports it.. Return to this week and explain what you changed.</w:t>
      </w:r>
    </w:p>
    <w:p>
      <w:r>
        <w:t>Review Python and Table Readiness (ai-4/4). Goal: Specify a table schema. Short practice: Why should the missing value not silently become zero? Point to the relevant step in the picture, then write the changed result and the rule or evidence that supports it.. Return to this week and explain what you changed.</w:t>
      </w:r>
    </w:p>
    <w:p>
      <w:r>
        <w:t>Review The ML Lifecycle (ai-4/1). Goal: Distinguish fitting a rule from applying a fixed rule. Short practice: Should the team silently retune on the changed test?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