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ai-4/31</w:t>
      </w:r>
    </w:p>
    <w:p>
      <w:pPr>
        <w:pStyle w:val="Title"/>
      </w:pPr>
      <w:r>
        <w:t>Subgroup Performance</w:t>
      </w:r>
    </w:p>
    <w:p>
      <w:r>
        <w:t>Project: Responsible Plant Classifier</w:t>
      </w:r>
    </w:p>
    <w:p>
      <w:pPr>
        <w:pStyle w:val="Heading1"/>
      </w:pPr>
      <w:r>
        <w:t>Before you start</w:t>
      </w:r>
    </w:p>
    <w:p>
      <w:r>
        <w:t>AI-2 Week 34: calculate subgroup rates before combining them.</w:t>
      </w:r>
    </w:p>
    <w:p>
      <w:pPr>
        <w:pStyle w:val="Heading1"/>
      </w:pPr>
      <w:r>
        <w:t>01. Your mission</w:t>
      </w:r>
    </w:p>
    <w:p>
      <w:pPr>
        <w:pStyle w:val="Heading3"/>
      </w:pPr>
      <w:r>
        <w:t>Your learning target</w:t>
      </w:r>
    </w:p>
    <w:p>
      <w:r>
        <w:t>I can calculate subgroup results with sample sizes.</w:t>
      </w:r>
    </w:p>
    <w:p>
      <w:r>
        <w:t>I can distinguish missing evidence from equal performance.</w:t>
      </w:r>
    </w:p>
    <w:p>
      <w:r>
        <w:t>I can report differences without assigning causes from a table.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Improve Generalization. Give an example and a mistake that the idea helps you avoid.</w:t>
      </w:r>
    </w:p>
    <w:p>
      <w:r>
        <w:t>Without opening the old lesson, explain one key idea from Learning Curves. Give an example and a mistake that the idea helps you avoid.</w:t>
      </w:r>
    </w:p>
    <w:p>
      <w:r>
        <w:t>Without opening the old lesson, explain one key idea from Metrics Match Consequences. Give an example and a mistake that the idea helps you avoid.</w:t>
      </w:r>
    </w:p>
    <w:p>
      <w:r>
        <w:t>After trying, check the relevant lesson or ask your teacher. Change the part of your explanation that the evidence shows was wrong.</w:t>
      </w:r>
    </w:p>
    <w:p>
      <w:r>
        <w:t>Overall metrics can conceal uneven behavior across meaningful conditions or user groups.</w:t>
      </w:r>
    </w:p>
    <w:p>
      <w:r>
        <w:drawing>
          <wp:inline xmlns:a="http://schemas.openxmlformats.org/drawingml/2006/main" xmlns:pic="http://schemas.openxmlformats.org/drawingml/2006/picture">
            <wp:extent cx="2942705" cy="2942705"/>
            <wp:docPr id="1" name="Picture 1" descr="AI-4 Week 31 illustration: Subgroup Performance"/>
            <wp:cNvGraphicFramePr>
              <a:graphicFrameLocks noChangeAspect="1"/>
            </wp:cNvGraphicFramePr>
            <a:graphic>
              <a:graphicData uri="http://schemas.openxmlformats.org/drawingml/2006/picture">
                <pic:pic>
                  <pic:nvPicPr>
                    <pic:cNvPr id="0" name="4ac82067209e11420126b604447173e5d94086a4fd131bf14bad8a9e5380274b.png"/>
                    <pic:cNvPicPr/>
                  </pic:nvPicPr>
                  <pic:blipFill>
                    <a:blip r:embed="rId9"/>
                    <a:stretch>
                      <a:fillRect/>
                    </a:stretch>
                  </pic:blipFill>
                  <pic:spPr>
                    <a:xfrm>
                      <a:off x="0" y="0"/>
                      <a:ext cx="2942705" cy="2942705"/>
                    </a:xfrm>
                    <a:prstGeom prst="rect"/>
                  </pic:spPr>
                </pic:pic>
              </a:graphicData>
            </a:graphic>
          </wp:inline>
        </w:drawing>
      </w:r>
    </w:p>
    <w:p>
      <w:r>
        <w:t>LEARNING TARGET  Device A gets 18/20 correct; B gets 6/10. Compute overall accuracy and the subgroup gap. What causal claim is not supported?</w:t>
      </w:r>
    </w:p>
    <w:p>
      <w:r>
        <w:t>Builder name and experiment date:</w:t>
      </w:r>
    </w:p>
    <w:p>
      <w:pPr>
        <w:pStyle w:val="Heading3"/>
      </w:pPr>
      <w:r>
        <w:t>Readiness for the connected explanation</w:t>
      </w:r>
    </w:p>
    <w:p>
      <w:r>
        <w:t>What can a pooled error rate hide?</w:t>
      </w:r>
    </w:p>
    <w:p>
      <w:pPr>
        <w:pStyle w:val="Heading3"/>
      </w:pPr>
      <w:r>
        <w:t>This week’s end goal</w:t>
      </w:r>
    </w:p>
    <w:p>
      <w:r>
        <w:t>By the end, I can explain subgroup performance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31 illustration: Subgroup Performance"/>
            <wp:cNvGraphicFramePr>
              <a:graphicFrameLocks noChangeAspect="1"/>
            </wp:cNvGraphicFramePr>
            <a:graphic>
              <a:graphicData uri="http://schemas.openxmlformats.org/drawingml/2006/picture">
                <pic:pic>
                  <pic:nvPicPr>
                    <pic:cNvPr id="0" name="4ac82067209e11420126b604447173e5d94086a4fd131bf14bad8a9e5380274b.png"/>
                    <pic:cNvPicPr/>
                  </pic:nvPicPr>
                  <pic:blipFill>
                    <a:blip r:embed="rId9"/>
                    <a:stretch>
                      <a:fillRect/>
                    </a:stretch>
                  </pic:blipFill>
                  <pic:spPr>
                    <a:xfrm>
                      <a:off x="0" y="0"/>
                      <a:ext cx="2942705" cy="2942705"/>
                    </a:xfrm>
                    <a:prstGeom prst="rect"/>
                  </pic:spPr>
                </pic:pic>
              </a:graphicData>
            </a:graphic>
          </wp:inline>
        </w:drawing>
      </w:r>
    </w:p>
    <w:p>
      <w:r>
        <w:t>MYSTERY  The team must use subgroup performance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single overall score can hide different experiences. Define relevant groups before evaluation and report counts as well as rates. This classroom exercise uses fictional sensor conditions, not personal identities. Real evaluations involving people require appropriate permissions, privacy and contextual expertise.</w:t>
      </w:r>
    </w:p>
    <w:p>
      <w:r>
        <w:t>Use fictional classroom data throughout this investigation. Keep the task, units, reference labels and data split visible as you reason. Earlier weeks supplied the model-building process; this week examines subgroup evaluation.</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1 machine-learning flow stage 1"/>
            <wp:cNvGraphicFramePr>
              <a:graphicFrameLocks noChangeAspect="1"/>
            </wp:cNvGraphicFramePr>
            <a:graphic>
              <a:graphicData uri="http://schemas.openxmlformats.org/drawingml/2006/picture">
                <pic:pic>
                  <pic:nvPicPr>
                    <pic:cNvPr id="0" name="7c829a263923b5561c1d9fccd149986e5dda035b2729c5657d63f85ac78dc3ce.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1 machine-learning flow stage 2"/>
            <wp:cNvGraphicFramePr>
              <a:graphicFrameLocks noChangeAspect="1"/>
            </wp:cNvGraphicFramePr>
            <a:graphic>
              <a:graphicData uri="http://schemas.openxmlformats.org/drawingml/2006/picture">
                <pic:pic>
                  <pic:nvPicPr>
                    <pic:cNvPr id="0" name="cdc314f70d1777433cc57f5448b7d340bc273dc9cd21d248b450a4ee2165c005.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1 machine-learning flow stage 3"/>
            <wp:cNvGraphicFramePr>
              <a:graphicFrameLocks noChangeAspect="1"/>
            </wp:cNvGraphicFramePr>
            <a:graphic>
              <a:graphicData uri="http://schemas.openxmlformats.org/drawingml/2006/picture">
                <pic:pic>
                  <pic:nvPicPr>
                    <pic:cNvPr id="0" name="2178b9ee59634f4c1b52f86c9e5451b782c21942a2ed8dbc358d18a77584fcc3.png"/>
                    <pic:cNvPicPr/>
                  </pic:nvPicPr>
                  <pic:blipFill>
                    <a:blip r:embed="rId12"/>
                    <a:stretch>
                      <a:fillRect/>
                    </a:stretch>
                  </pic:blipFill>
                  <pic:spPr>
                    <a:xfrm>
                      <a:off x="0" y="0"/>
                      <a:ext cx="5237018" cy="3200400"/>
                    </a:xfrm>
                    <a:prstGeom prst="rect"/>
                  </pic:spPr>
                </pic:pic>
              </a:graphicData>
            </a:graphic>
          </wp:inline>
        </w:drawing>
      </w:r>
    </w:p>
    <w:p>
      <w:r>
        <w:t>QUESTION  Calculate subgroup accuracy and recall gaps with adequate denominators.</w:t>
      </w:r>
    </w:p>
    <w:p>
      <w:r>
        <w:t>MODEL IDEA  Overall metrics can conceal uneven behavior across meaningful conditions or user groups.</w:t>
      </w:r>
    </w:p>
    <w:p>
      <w:r>
        <w:t>PROOF NEEDED  Use an unseen case, visible calculation, error analysis, and a stated limitation.</w:t>
      </w:r>
    </w:p>
    <w:p>
      <w:r>
        <w:t>UNDER THE HOOD  Daylight: 18/20 correct = 90%; evening: 10/20 = 50%. Accuracy gap = 90% − 50% = 40 percentage points.</w:t>
      </w:r>
    </w:p>
    <w:p>
      <w:r>
        <w:t>Draw a fresh data → model → prediction → evaluation trace:</w:t>
      </w:r>
    </w:p>
    <w:p>
      <w:pPr>
        <w:pStyle w:val="Heading3"/>
      </w:pPr>
      <w:r>
        <w:t>A closer explanation</w:t>
      </w:r>
    </w:p>
    <w:p>
      <w:r>
        <w:t>Sensor group A has 2 errors in 20 examples and group B has 3 in 5. Error rates are 10 and 60 percent; pooled error is 5/25=20 percent. The group difference is 50 percentage points. B has only five examples, so its rate is sensitive to each individual result.</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1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1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1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1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Shade gains5 new cases with no errors.</w:t>
      </w:r>
    </w:p>
    <w:p>
      <w:r>
        <w:t>Prediction: Shade error becomes3/10=30%; pooled error becomes5/30≈16.7%.</w:t>
      </w:r>
    </w:p>
    <w:p>
      <w:r>
        <w:t>Reason: Extra evaluated cases change denominators; existing errors have not disappeared.</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subgroup, meaningful slice of evaluation cases"/>
            <wp:cNvGraphicFramePr>
              <a:graphicFrameLocks noChangeAspect="1"/>
            </wp:cNvGraphicFramePr>
            <a:graphic>
              <a:graphicData uri="http://schemas.openxmlformats.org/drawingml/2006/picture">
                <pic:pic>
                  <pic:nvPicPr>
                    <pic:cNvPr id="0" name="0c0c24bc5acb58c992843bab96d87aec83ae25fc72e8b63907393f332b115215.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performance gap, difference between subgroup metrics"/>
            <wp:cNvGraphicFramePr>
              <a:graphicFrameLocks noChangeAspect="1"/>
            </wp:cNvGraphicFramePr>
            <a:graphic>
              <a:graphicData uri="http://schemas.openxmlformats.org/drawingml/2006/picture">
                <pic:pic>
                  <pic:nvPicPr>
                    <pic:cNvPr id="0" name="a0c9560953371aba2dd22263d6c0b8a092d3a80f4ccac5c0ee74c3853cd87331.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denominator, number of cases behind a rate"/>
            <wp:cNvGraphicFramePr>
              <a:graphicFrameLocks noChangeAspect="1"/>
            </wp:cNvGraphicFramePr>
            <a:graphic>
              <a:graphicData uri="http://schemas.openxmlformats.org/drawingml/2006/picture">
                <pic:pic>
                  <pic:nvPicPr>
                    <pic:cNvPr id="0" name="a984ba31b656ee431b42fccaaf2c4b643f3001a1561c9023801233c1a5b04d66.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intersection, cases belonging to multiple slices"/>
            <wp:cNvGraphicFramePr>
              <a:graphicFrameLocks noChangeAspect="1"/>
            </wp:cNvGraphicFramePr>
            <a:graphic>
              <a:graphicData uri="http://schemas.openxmlformats.org/drawingml/2006/picture">
                <pic:pic>
                  <pic:nvPicPr>
                    <pic:cNvPr id="0" name="3609816298932c747e544ae17f40412a5378f83a62f595962464ad17881d4c08.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subgroup</w:t>
            </w:r>
          </w:p>
        </w:tc>
        <w:tc>
          <w:tcPr>
            <w:tcW w:type="dxa" w:w="3408"/>
          </w:tcPr>
          <w:p>
            <w:r>
              <w:t>meaningful slice of evaluation cases</w:t>
            </w:r>
          </w:p>
        </w:tc>
        <w:tc>
          <w:tcPr>
            <w:tcW w:type="dxa" w:w="3408"/>
          </w:tcPr>
          <w:p>
            <w:r/>
          </w:p>
        </w:tc>
      </w:tr>
      <w:tr>
        <w:tc>
          <w:tcPr>
            <w:tcW w:type="dxa" w:w="3408"/>
          </w:tcPr>
          <w:p>
            <w:r>
              <w:t>performance gap</w:t>
            </w:r>
          </w:p>
        </w:tc>
        <w:tc>
          <w:tcPr>
            <w:tcW w:type="dxa" w:w="3408"/>
          </w:tcPr>
          <w:p>
            <w:r>
              <w:t>difference between subgroup metrics</w:t>
            </w:r>
          </w:p>
        </w:tc>
        <w:tc>
          <w:tcPr>
            <w:tcW w:type="dxa" w:w="3408"/>
          </w:tcPr>
          <w:p>
            <w:r/>
          </w:p>
        </w:tc>
      </w:tr>
      <w:tr>
        <w:tc>
          <w:tcPr>
            <w:tcW w:type="dxa" w:w="3408"/>
          </w:tcPr>
          <w:p>
            <w:r>
              <w:t>denominator</w:t>
            </w:r>
          </w:p>
        </w:tc>
        <w:tc>
          <w:tcPr>
            <w:tcW w:type="dxa" w:w="3408"/>
          </w:tcPr>
          <w:p>
            <w:r>
              <w:t>number of cases behind a rate</w:t>
            </w:r>
          </w:p>
        </w:tc>
        <w:tc>
          <w:tcPr>
            <w:tcW w:type="dxa" w:w="3408"/>
          </w:tcPr>
          <w:p>
            <w:r/>
          </w:p>
        </w:tc>
      </w:tr>
      <w:tr>
        <w:tc>
          <w:tcPr>
            <w:tcW w:type="dxa" w:w="3408"/>
          </w:tcPr>
          <w:p>
            <w:r>
              <w:t>intersection</w:t>
            </w:r>
          </w:p>
        </w:tc>
        <w:tc>
          <w:tcPr>
            <w:tcW w:type="dxa" w:w="3408"/>
          </w:tcPr>
          <w:p>
            <w:r>
              <w:t>cases belonging to multiple slices</w:t>
            </w:r>
          </w:p>
        </w:tc>
        <w:tc>
          <w:tcPr>
            <w:tcW w:type="dxa" w:w="3408"/>
          </w:tcPr>
          <w:p>
            <w:r/>
          </w:p>
        </w:tc>
      </w:tr>
    </w:tbl>
    <w:p>
      <w:r>
        <w:t>MISCONCEPTION TO REPAIR  A good overall result guarantees acceptable performance for every subgroup.</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Subgroup</w:t>
            </w:r>
          </w:p>
        </w:tc>
        <w:tc>
          <w:tcPr>
            <w:tcW w:type="dxa" w:w="5112"/>
          </w:tcPr>
          <w:p>
            <w:r>
              <w:t>A defined subset of the evaluated examples</w:t>
            </w:r>
          </w:p>
        </w:tc>
      </w:tr>
      <w:tr>
        <w:tc>
          <w:tcPr>
            <w:tcW w:type="dxa" w:w="5112"/>
          </w:tcPr>
          <w:p>
            <w:r>
              <w:t>Disaggregation</w:t>
            </w:r>
          </w:p>
        </w:tc>
        <w:tc>
          <w:tcPr>
            <w:tcW w:type="dxa" w:w="5112"/>
          </w:tcPr>
          <w:p>
            <w:r>
              <w:t>Reporting results separately for defined groups</w:t>
            </w:r>
          </w:p>
        </w:tc>
      </w:tr>
      <w:tr>
        <w:tc>
          <w:tcPr>
            <w:tcW w:type="dxa" w:w="5112"/>
          </w:tcPr>
          <w:p>
            <w:r>
              <w:t>Coverage</w:t>
            </w:r>
          </w:p>
        </w:tc>
        <w:tc>
          <w:tcPr>
            <w:tcW w:type="dxa" w:w="5112"/>
          </w:tcPr>
          <w:p>
            <w:r>
              <w:t>Which groups and conditions are represented</w:t>
            </w:r>
          </w:p>
        </w:tc>
      </w:tr>
      <w:tr>
        <w:tc>
          <w:tcPr>
            <w:tcW w:type="dxa" w:w="5112"/>
          </w:tcPr>
          <w:p>
            <w:r>
              <w:t>Disparity</w:t>
            </w:r>
          </w:p>
        </w:tc>
        <w:tc>
          <w:tcPr>
            <w:tcW w:type="dxa" w:w="5112"/>
          </w:tcPr>
          <w:p>
            <w:r>
              <w:t>An observed difference between group results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31: Subgroup Performance"/>
            <wp:cNvGraphicFramePr>
              <a:graphicFrameLocks noChangeAspect="1"/>
            </wp:cNvGraphicFramePr>
            <a:graphic>
              <a:graphicData uri="http://schemas.openxmlformats.org/drawingml/2006/picture">
                <pic:pic>
                  <pic:nvPicPr>
                    <pic:cNvPr id="0" name="54b009bbc60a69eaf11eb2efb7c5f990271697b4f1ccd9435e01ef5d23ec11ef.png"/>
                    <pic:cNvPicPr/>
                  </pic:nvPicPr>
                  <pic:blipFill>
                    <a:blip r:embed="rId21"/>
                    <a:stretch>
                      <a:fillRect/>
                    </a:stretch>
                  </pic:blipFill>
                  <pic:spPr>
                    <a:xfrm>
                      <a:off x="0" y="0"/>
                      <a:ext cx="5486400" cy="2523744"/>
                    </a:xfrm>
                    <a:prstGeom prst="rect"/>
                  </pic:spPr>
                </pic:pic>
              </a:graphicData>
            </a:graphic>
          </wp:inline>
        </w:drawing>
      </w:r>
    </w:p>
    <w:p>
      <w:r>
        <w:t>STEP 1  Daylight: 18/20 correct = 90%; evening: 10/20 = 50%.</w:t>
      </w:r>
    </w:p>
    <w:p>
      <w:r>
        <w:t>STEP 2  Accuracy gap = 90% − 50% = 40 percentage points.</w:t>
      </w:r>
    </w:p>
    <w:p>
      <w:r>
        <w:t>STEP 3  Evening spotted recall is 4/10 = 40%, versus daylight 8/10 = 80%.</w:t>
      </w:r>
    </w:p>
    <w:p>
      <w:r>
        <w:t>STEP 4  Inspect representation and image quality; report counts and uncertainty before repairing.</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Subgroup evaluation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Group A</w:t>
            </w:r>
          </w:p>
        </w:tc>
        <w:tc>
          <w:tcPr>
            <w:tcW w:type="dxa" w:w="3408"/>
          </w:tcPr>
          <w:p>
            <w:r>
              <w:t>2 errors of 20</w:t>
            </w:r>
          </w:p>
        </w:tc>
        <w:tc>
          <w:tcPr>
            <w:tcW w:type="dxa" w:w="3408"/>
          </w:tcPr>
          <w:p>
            <w:r>
              <w:t>10 percent</w:t>
            </w:r>
          </w:p>
        </w:tc>
      </w:tr>
      <w:tr>
        <w:tc>
          <w:tcPr>
            <w:tcW w:type="dxa" w:w="3408"/>
          </w:tcPr>
          <w:p>
            <w:r>
              <w:t>Group B</w:t>
            </w:r>
          </w:p>
        </w:tc>
        <w:tc>
          <w:tcPr>
            <w:tcW w:type="dxa" w:w="3408"/>
          </w:tcPr>
          <w:p>
            <w:r>
              <w:t>3 errors of 5</w:t>
            </w:r>
          </w:p>
        </w:tc>
        <w:tc>
          <w:tcPr>
            <w:tcW w:type="dxa" w:w="3408"/>
          </w:tcPr>
          <w:p>
            <w:r>
              <w:t>60 percent</w:t>
            </w:r>
          </w:p>
        </w:tc>
      </w:tr>
      <w:tr>
        <w:tc>
          <w:tcPr>
            <w:tcW w:type="dxa" w:w="3408"/>
          </w:tcPr>
          <w:p>
            <w:r>
              <w:t>Pooled</w:t>
            </w:r>
          </w:p>
        </w:tc>
        <w:tc>
          <w:tcPr>
            <w:tcW w:type="dxa" w:w="3408"/>
          </w:tcPr>
          <w:p>
            <w:r>
              <w:t>5 errors of 25</w:t>
            </w:r>
          </w:p>
        </w:tc>
        <w:tc>
          <w:tcPr>
            <w:tcW w:type="dxa" w:w="3408"/>
          </w:tcPr>
          <w:p>
            <w:r>
              <w:t>20 percent</w:t>
            </w:r>
          </w:p>
        </w:tc>
      </w:tr>
    </w:tbl>
    <w:p>
      <w:r>
        <w:t>Changing one B error to a correct result changes its rate from 60 to 40 percent. Small samples can be unstable without making the observed errors unimportant. A missing group has no measured rate, not zero error. Intersections of conditions may be even smaller.</w:t>
      </w:r>
    </w:p>
    <w:p>
      <w:pPr>
        <w:pStyle w:val="Heading3"/>
      </w:pPr>
      <w:r>
        <w:t>How does correcting one B error affect its rate?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Subgroup Performance</w:t>
      </w:r>
    </w:p>
    <w:p>
      <w:r>
        <w:t>Calculate subgroup and pooled error rates without letting the larger group hide a gap.</w:t>
      </w:r>
    </w:p>
    <w:p>
      <w:pPr>
        <w:pStyle w:val="Heading3"/>
      </w:pPr>
      <w:r>
        <w:t>The facts we will use</w:t>
      </w:r>
    </w:p>
    <w:p>
      <w:r>
        <w:t>Group Sun: 2 errors in20 photos; Shade: 3 errors in5. Same error definition; related plant views are documented.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5" name="Picture 15" descr="Subgroup error rates"/>
            <wp:cNvGraphicFramePr>
              <a:graphicFrameLocks noChangeAspect="1"/>
            </wp:cNvGraphicFramePr>
            <a:graphic>
              <a:graphicData uri="http://schemas.openxmlformats.org/drawingml/2006/picture">
                <pic:pic>
                  <pic:nvPicPr>
                    <pic:cNvPr id="0" name="academy-detail-ai-4-31.png"/>
                    <pic:cNvPicPr/>
                  </pic:nvPicPr>
                  <pic:blipFill>
                    <a:blip r:embed="rId22"/>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185229"/>
            <wp:docPr id="16" name="Picture 16" descr="Subgroup Performance. Sun rate: Sun error=2/20=10%.. Shade rate: Shade error=3/5=60%.. Pooled rate: Total error=5/25=20%, which hides the 50-percentage-point subgroup difference."/>
            <wp:cNvGraphicFramePr>
              <a:graphicFrameLocks noChangeAspect="1"/>
            </wp:cNvGraphicFramePr>
            <a:graphic>
              <a:graphicData uri="http://schemas.openxmlformats.org/drawingml/2006/picture">
                <pic:pic>
                  <pic:nvPicPr>
                    <pic:cNvPr id="0" name="academy-visual-ai-4-31.png"/>
                    <pic:cNvPicPr/>
                  </pic:nvPicPr>
                  <pic:blipFill>
                    <a:blip r:embed="rId23"/>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Sun rate</w:t>
            </w:r>
          </w:p>
        </w:tc>
        <w:tc>
          <w:tcPr>
            <w:tcW w:type="dxa" w:w="5112"/>
          </w:tcPr>
          <w:p>
            <w:r>
              <w:t>Sun error=2/20=10%.</w:t>
            </w:r>
          </w:p>
        </w:tc>
      </w:tr>
      <w:tr>
        <w:tc>
          <w:tcPr>
            <w:tcW w:type="dxa" w:w="5112"/>
          </w:tcPr>
          <w:p>
            <w:r>
              <w:t>2. Shade rate</w:t>
            </w:r>
          </w:p>
        </w:tc>
        <w:tc>
          <w:tcPr>
            <w:tcW w:type="dxa" w:w="5112"/>
          </w:tcPr>
          <w:p>
            <w:r>
              <w:t>Shade error=3/5=60%.</w:t>
            </w:r>
          </w:p>
        </w:tc>
      </w:tr>
      <w:tr>
        <w:tc>
          <w:tcPr>
            <w:tcW w:type="dxa" w:w="5112"/>
          </w:tcPr>
          <w:p>
            <w:r>
              <w:t>3. Pooled rate</w:t>
            </w:r>
          </w:p>
        </w:tc>
        <w:tc>
          <w:tcPr>
            <w:tcW w:type="dxa" w:w="5112"/>
          </w:tcPr>
          <w:p>
            <w:r>
              <w:t>Total error=5/25=20%, which hides the 50-percentage-point subgroup difference.</w:t>
            </w:r>
          </w:p>
        </w:tc>
      </w:tr>
    </w:tbl>
    <w:p>
      <w:r>
        <w:t>Match each pictured step to the supplied facts. This is a worked teaching case, not an independent assessment.</w:t>
      </w:r>
    </w:p>
    <w:p>
      <w:pPr>
        <w:pStyle w:val="Heading3"/>
      </w:pPr>
      <w:r>
        <w:t>Why this result follows</w:t>
      </w:r>
    </w:p>
    <w:p>
      <w:r>
        <w:t>Read the picture in order. Total error=5/25=20%, which hides the 50-percentage-point subgroup difference.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Small subgroup samples have high variability. An observed gap does not by itself establish discrimination or a causal explanation.</w:t>
      </w:r>
    </w:p>
    <w:p>
      <w:r>
        <w:t>Read the labelled picture: Why should the report retain subgroup rates alongside the total? Point to the relevant step in the picture, then write the changed result and the rule or evidence that supports it.</w:t>
      </w:r>
    </w:p>
    <w:p>
      <w:r>
        <w:t>Change one thing: Shade gains5 new cases with no errors.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31"/>
            <wp:cNvGraphicFramePr>
              <a:graphicFrameLocks noChangeAspect="1"/>
            </wp:cNvGraphicFramePr>
            <a:graphic>
              <a:graphicData uri="http://schemas.openxmlformats.org/drawingml/2006/picture">
                <pic:pic>
                  <pic:nvPicPr>
                    <pic:cNvPr id="0" name="5521d9df4b6ae7c546f89120d7a2a7ff84f410a5560e0682b1e29472f1cd2182.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good overall result guarantees acceptable performance for every subgroup.</w:t>
      </w:r>
    </w:p>
    <w:p>
      <w:r>
        <w:t>Diagnose one cause and name the cleanest next experiment:</w:t>
      </w:r>
    </w:p>
    <w:p>
      <w:pPr>
        <w:pStyle w:val="Heading3"/>
      </w:pPr>
      <w:r>
        <w:t>A closer explanation</w:t>
      </w:r>
    </w:p>
    <w:p>
      <w:r>
        <w:t>Equal error rates alone do not establish fairness, and unequal rates alone do not identify discrimination or a cause. Groups may differ in base rates, label quality or conditions. Use results to ask better questions and plan review rather than label a group as inherently difficult.</w:t>
      </w:r>
    </w:p>
    <w:p>
      <w:pPr>
        <w:pStyle w:val="Heading3"/>
      </w:pPr>
      <w:r>
        <w:t>Why does equal accuracy not settle whether use is fair?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Choose group definitions for a reason connected to use and possible harm. Retain error types, reference-label quality and sampling method. Avoid searching many groupings merely to find a dramatic or reassuring number. Report exploratory checks as exploratory.</w:t>
      </w:r>
    </w:p>
    <w:p>
      <w:pPr>
        <w:pStyle w:val="Heading3"/>
      </w:pPr>
      <w:r>
        <w:t>Practise with less help: Check sensitivity</w:t>
      </w:r>
    </w:p>
    <w:p>
      <w:r>
        <w:t>Use workbook W2 for the connected example “Subgroup evaluation”.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Subgroup evaluation.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should the report retain subgroup rates alongside the total?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31"/>
            <wp:cNvGraphicFramePr>
              <a:graphicFrameLocks noChangeAspect="1"/>
            </wp:cNvGraphicFramePr>
            <a:graphic>
              <a:graphicData uri="http://schemas.openxmlformats.org/drawingml/2006/picture">
                <pic:pic>
                  <pic:nvPicPr>
                    <pic:cNvPr id="0" name="ce3bad77273b21a4950b4956e61f013279ecadb6e50e86fdeae2bc890b942d6b.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Slice Audit: compute metrics and denominators for lighting, species, and camera; flag small samples and prioritize one gap.</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subgroup, performance gap, denominator, intersection.</w:t>
      </w:r>
    </w:p>
    <w:p>
      <w:r>
        <w:t>CALCULATE  Reproduce the worked evidence with units and denominator.</w:t>
      </w:r>
    </w:p>
    <w:p>
      <w:r>
        <w:t>TRACE  Explain the data, code or decision path.</w:t>
      </w:r>
    </w:p>
    <w:p>
      <w:r>
        <w:t>DIAGNOSE  A good overall result guarantees acceptable performance for every subgroup.</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31"/>
            <wp:cNvGraphicFramePr>
              <a:graphicFrameLocks noChangeAspect="1"/>
            </wp:cNvGraphicFramePr>
            <a:graphic>
              <a:graphicData uri="http://schemas.openxmlformats.org/drawingml/2006/picture">
                <pic:pic>
                  <pic:nvPicPr>
                    <pic:cNvPr id="0" name="9718f9112d251407dc05b92c872998fa99b9e2dc016fbbc0dd4f5eff696ff0d7.png"/>
                    <pic:cNvPicPr/>
                  </pic:nvPicPr>
                  <pic:blipFill>
                    <a:blip r:embed="rId28"/>
                    <a:stretch>
                      <a:fillRect/>
                    </a:stretch>
                  </pic:blipFill>
                  <pic:spPr>
                    <a:xfrm>
                      <a:off x="0" y="0"/>
                      <a:ext cx="5486400" cy="2048256"/>
                    </a:xfrm>
                    <a:prstGeom prst="rect"/>
                  </pic:spPr>
                </pic:pic>
              </a:graphicData>
            </a:graphic>
          </wp:inline>
        </w:drawing>
      </w:r>
    </w:p>
    <w:p>
      <w:r>
        <w:t>THIS WEEK'S CHECKPOINT  Add subgroup tables and a minimum acceptable threshold to the Plant Classifier release criteria.</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31"/>
            <wp:cNvGraphicFramePr>
              <a:graphicFrameLocks noChangeAspect="1"/>
            </wp:cNvGraphicFramePr>
            <a:graphic>
              <a:graphicData uri="http://schemas.openxmlformats.org/drawingml/2006/picture">
                <pic:pic>
                  <pic:nvPicPr>
                    <pic:cNvPr id="0" name="9e46b96d85d705bb3d3f1051555fbe2efa0e63d877b69ce5c28c589801b09e2a.png"/>
                    <pic:cNvPicPr/>
                  </pic:nvPicPr>
                  <pic:blipFill>
                    <a:blip r:embed="rId29"/>
                    <a:stretch>
                      <a:fillRect/>
                    </a:stretch>
                  </pic:blipFill>
                  <pic:spPr>
                    <a:xfrm>
                      <a:off x="0" y="0"/>
                      <a:ext cx="5486400" cy="2048256"/>
                    </a:xfrm>
                    <a:prstGeom prst="rect"/>
                  </pic:spPr>
                </pic:pic>
              </a:graphicData>
            </a:graphic>
          </wp:inline>
        </w:drawing>
      </w:r>
    </w:p>
    <w:p>
      <w:r>
        <w:t>REQUIRED PROOF  Calculate subgroup accuracy and recall gaps with adequate denominators.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Proxy Features and Fairness.</w:t>
      </w:r>
    </w:p>
    <w:p>
      <w:pPr>
        <w:pStyle w:val="Heading1"/>
      </w:pPr>
      <w:r>
        <w:t>13. Study a complete case</w:t>
      </w:r>
    </w:p>
    <w:p>
      <w:pPr>
        <w:pStyle w:val="Heading3"/>
      </w:pPr>
      <w:r>
        <w:t>Week 31 Worked case</w:t>
      </w:r>
    </w:p>
    <w:p>
      <w:r>
        <w:t>Use the supplied details to practise the weekly concept before attempting the independent question. This case extends the illustrated lesson.</w:t>
      </w:r>
    </w:p>
    <w:p>
      <w:pPr>
        <w:pStyle w:val="Heading3"/>
      </w:pPr>
      <w:r>
        <w:t>The situation</w:t>
      </w:r>
    </w:p>
    <w:p>
      <w:r>
        <w:t>A has18/20 correct; B has6/10.</w:t>
      </w:r>
    </w:p>
    <w:p>
      <w:pPr>
        <w:pStyle w:val="Heading3"/>
      </w:pPr>
      <w:r>
        <w:t>The question</w:t>
      </w:r>
    </w:p>
    <w:p>
      <w:r>
        <w:t>Compute subgroup results and evidence limits.</w:t>
      </w:r>
    </w:p>
    <w:p>
      <w:pPr>
        <w:pStyle w:val="Heading3"/>
      </w:pPr>
      <w:r>
        <w:t>Worked explanation</w:t>
      </w:r>
    </w:p>
    <w:p>
      <w:r>
        <w:t>90% versus60%, gap30 percentage points. Report denominators and investigate collection/label differences without assuming an inherent group cause.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Report subgroup denominators with rates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Group A</w:t>
            </w:r>
          </w:p>
        </w:tc>
        <w:tc>
          <w:tcPr>
            <w:tcW w:type="dxa" w:w="5112"/>
          </w:tcPr>
          <w:p>
            <w:r>
              <w:t>18/20</w:t>
            </w:r>
          </w:p>
        </w:tc>
      </w:tr>
      <w:tr>
        <w:tc>
          <w:tcPr>
            <w:tcW w:type="dxa" w:w="5112"/>
          </w:tcPr>
          <w:p>
            <w:r>
              <w:t>Group B</w:t>
            </w:r>
          </w:p>
        </w:tc>
        <w:tc>
          <w:tcPr>
            <w:tcW w:type="dxa" w:w="5112"/>
          </w:tcPr>
          <w:p>
            <w:r>
              <w:t>6/10</w:t>
            </w:r>
          </w:p>
        </w:tc>
      </w:tr>
    </w:tbl>
    <w:p>
      <w:r>
        <w:t>A has18/20 correct; B has6/10.</w:t>
      </w:r>
    </w:p>
    <w:p>
      <w:r>
        <w:t>Compute subgroup results and evidence limits.</w:t>
      </w:r>
    </w:p>
    <w:p>
      <w:r>
        <w:t>90% versus60%, gap30 percentage points. Report denominators and investigate collection/label differences without assuming an inherent group cause.</w:t>
      </w:r>
    </w:p>
    <w:p>
      <w:pPr>
        <w:pStyle w:val="Heading1"/>
      </w:pPr>
      <w:r>
        <w:t>14. Try a new case independently</w:t>
      </w:r>
    </w:p>
    <w:p>
      <w:pPr>
        <w:pStyle w:val="Heading3"/>
      </w:pPr>
      <w:r>
        <w:t>Independent case: Apply independently</w:t>
      </w:r>
    </w:p>
    <w:p>
      <w:r>
        <w:t>Groups X 1 error/10 and Y 2/4: calculate separate and pooled rates, then state one limit.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31 Independent application</w:t>
      </w:r>
    </w:p>
    <w:p>
      <w:r>
        <w:t>Close the worked explanation. Apply the idea to this different question without copying.</w:t>
      </w:r>
    </w:p>
    <w:p>
      <w:r>
        <w:t>Accuracy is 18/20 in bright light and 6/10 in dim light. Compute both rates and the percentage-point gap.</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Add subgroup tables and a minimum acceptable threshold to the Plant Classifier release criteria.</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Device A gets 18/20 correct; B gets 6/10. Compute overall accuracy and the subgroup gap. What causal claim is not supported?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Calculate subgroup and pooled error rates without letting the larger group hide a gap.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Calculate subgroup results with sample sizes</w:t>
            </w:r>
          </w:p>
        </w:tc>
        <w:tc>
          <w:tcPr>
            <w:tcW w:type="dxa" w:w="5112"/>
          </w:tcPr>
          <w:p>
            <w:r>
              <w:t>Explain the deciding step, show a trace or test, and state one limit.</w:t>
            </w:r>
          </w:p>
        </w:tc>
      </w:tr>
      <w:tr>
        <w:tc>
          <w:tcPr>
            <w:tcW w:type="dxa" w:w="5112"/>
          </w:tcPr>
          <w:p>
            <w:r>
              <w:t>Distinguish missing evidence from equal performance</w:t>
            </w:r>
          </w:p>
        </w:tc>
        <w:tc>
          <w:tcPr>
            <w:tcW w:type="dxa" w:w="5112"/>
          </w:tcPr>
          <w:p>
            <w:r>
              <w:t>Explain the deciding step, show a trace or test, and state one limit.</w:t>
            </w:r>
          </w:p>
        </w:tc>
      </w:tr>
      <w:tr>
        <w:tc>
          <w:tcPr>
            <w:tcW w:type="dxa" w:w="5112"/>
          </w:tcPr>
          <w:p>
            <w:r>
              <w:t>Report differences without assigning causes from a table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Calculate subgroup results with sample sizes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Calculate subgroup and pooled error rates without letting the larger group hide a gap.</w:t>
      </w:r>
    </w:p>
    <w:p>
      <w:pPr>
        <w:pStyle w:val="Heading3"/>
      </w:pPr>
      <w:r>
        <w:t>Practice 1: explain the deciding evidence</w:t>
      </w:r>
    </w:p>
    <w:p>
      <w:r>
        <w:t>Which labelled step matches this detail? Total error=5/25=20%, which hides the 50-percentage-point subgroup difference.</w:t>
      </w:r>
    </w:p>
    <w:p>
      <w:r>
        <w:t>1. Pooled rate</w:t>
      </w:r>
    </w:p>
    <w:p>
      <w:r>
        <w:t>2. Sun rate</w:t>
      </w:r>
    </w:p>
    <w:p>
      <w:r>
        <w:t>3. Shade rate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Pooled rate Total error=5/25=20%, which hides the 50-percentage-point subgroup difference. Read the picture in order. Total error=5/25=20%, which hides the 50-percentage-point subgroup difference.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Shade gains5 new cases with no errors. Which conclusion is supported by the supplied facts?</w:t>
      </w:r>
    </w:p>
    <w:p>
      <w:r>
        <w:t>1. We can decide the result without examining the changed input or the procedure.</w:t>
      </w:r>
    </w:p>
    <w:p>
      <w:r>
        <w:t>2. Shade error becomes3/10=30%; pooled error becomes5/30≈16.7%.</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Shade error becomes3/10=30%; pooled error becomes5/30≈16.7%. Extra evaluated cases change denominators; existing errors have not disappeared.</w:t>
      </w:r>
    </w:p>
    <w:p>
      <w:pPr>
        <w:pStyle w:val="Heading3"/>
      </w:pPr>
      <w:r>
        <w:t>Repair a missing building block</w:t>
      </w:r>
    </w:p>
    <w:p>
      <w:r>
        <w:t>Review Improve Generalization (ai-4/30). Goal: Compare training and validation evidence for model capacity. Short practice: What fresh evidence is needed after adding crossed training data? Point to the relevant step in the picture, then write the changed result and the rule or evidence that supports it.. Return to this week and explain what you changed.</w:t>
      </w:r>
    </w:p>
    <w:p>
      <w:r>
        <w:t>Review Learning Curves (ai-4/28). Goal: Read training-size learning curves. Short practice: What comparison is valid if the validation set changes between sizes? Point to the relevant step in the picture, then write the changed result and the rule or evidence that supports it.. Return to this week and explain what you changed.</w:t>
      </w:r>
    </w:p>
    <w:p>
      <w:r>
        <w:t>Review Metrics Match Consequences (ai-4/25). Goal: Apply a declared score threshold including equality. Short practice: Which labels determine the false-alarm count at threshold 0.4?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