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ai-6/18</w:t>
      </w:r>
    </w:p>
    <w:p>
      <w:pPr>
        <w:pStyle w:val="Title"/>
      </w:pPr>
      <w:r>
        <w:t>Untrusted input boundaries</w:t>
      </w:r>
    </w:p>
    <w:p>
      <w:r>
        <w:t>Project: Grounded Learning Service</w:t>
      </w:r>
    </w:p>
    <w:p>
      <w:pPr>
        <w:pStyle w:val="Heading1"/>
      </w:pPr>
      <w:r>
        <w:t>Before you start</w:t>
      </w:r>
    </w:p>
    <w:p>
      <w:r>
        <w:t>Recall External side effects and recovery.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untrusted input boundaries.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External side effects and recovery. Give an example and a mistake that the idea helps you avoid.</w:t>
      </w:r>
    </w:p>
    <w:p>
      <w:r>
        <w:t>Without opening the old lesson, explain one key idea from Approval gates and idempotency. Give an example and a mistake that the idea helps you avoid.</w:t>
      </w:r>
    </w:p>
    <w:p>
      <w:r>
        <w:t>Without opening the old lesson, explain one key idea from Logs traces and privacy.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untrusted input boundaries</w:t>
      </w:r>
    </w:p>
    <w:p>
      <w:r>
        <w:t>Apply the stated procedure to a new case with a traceable result</w:t>
      </w:r>
    </w:p>
    <w:p>
      <w:r>
        <w:t>Identify an assumption or limitation and design a revealing follow-up</w:t>
      </w:r>
    </w:p>
    <w:p>
      <w:pPr>
        <w:pStyle w:val="Heading3"/>
      </w:pPr>
      <w:r>
        <w:t>Retrieve what you already know</w:t>
      </w:r>
    </w:p>
    <w:p>
      <w:r>
        <w:t>Recall External side effects and recovery.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untrusted input boundaries using the deciding step in this fictional service.</w:t>
      </w:r>
    </w:p>
    <w:p>
      <w:pPr>
        <w:pStyle w:val="Heading1"/>
      </w:pPr>
      <w:r>
        <w:t>02. Notice the evidence</w:t>
      </w:r>
    </w:p>
    <w:p>
      <w:r>
        <w:t>Untrusted input must be treated according to a contract before reaching code, queries or tools. Data that resembles instructions does not acquire execution authority.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the toy lookup accept room IDs matching one uppercase letter plus one digit. Perform exact dictionary lookup; never evaluate user strings as code. Reject invalid length or characters.</w:t>
      </w:r>
    </w:p>
    <w:p>
      <w:pPr>
        <w:pStyle w:val="Heading3"/>
      </w:pPr>
      <w:r>
        <w:t>Untrusted input boundaries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Inputs A1 and delete_all() are supplied to room lookup.</w:t>
            </w:r>
          </w:p>
        </w:tc>
        <w:tc>
          <w:tcPr>
            <w:tcW w:type="dxa" w:w="3408"/>
          </w:tcPr>
          <w:p>
            <w:r>
              <w:t>For the toy lookup accept room IDs matching one uppercase letter plus one digit. Perform exact dictionary lookup; never evaluate user strings as code. Reject invalid length or characters.</w:t>
            </w:r>
          </w:p>
        </w:tc>
        <w:tc>
          <w:tcPr>
            <w:tcW w:type="dxa" w:w="3408"/>
          </w:tcPr>
          <w:p>
            <w:r>
              <w:t>A1 passes the format; delete_all() fails. Neither is executed as code, including any instruction-shaped string.</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Inputs A1 and delete_all() are supplied to room lookup.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Replace h3 with z0.</w:t>
      </w:r>
    </w:p>
    <w:p>
      <w:r>
        <w:t>Prediction: The shape passes; resource access is still undecided.</w:t>
      </w:r>
    </w:p>
    <w:p>
      <w:r>
        <w:t>Reason: Structure contains no evidence of ownership or user permission.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Untrusted input</w:t>
            </w:r>
          </w:p>
        </w:tc>
        <w:tc>
          <w:tcPr>
            <w:tcW w:type="dxa" w:w="5112"/>
          </w:tcPr>
          <w:p>
            <w:r>
              <w:t>Data whose claims or control intent have not been authorised</w:t>
            </w:r>
          </w:p>
        </w:tc>
      </w:tr>
      <w:tr>
        <w:tc>
          <w:tcPr>
            <w:tcW w:type="dxa" w:w="5112"/>
          </w:tcPr>
          <w:p>
            <w:r>
              <w:t>Full match</w:t>
            </w:r>
          </w:p>
        </w:tc>
        <w:tc>
          <w:tcPr>
            <w:tcW w:type="dxa" w:w="5112"/>
          </w:tcPr>
          <w:p>
            <w:r>
              <w:t>Validation covering the whole input</w:t>
            </w:r>
          </w:p>
        </w:tc>
      </w:tr>
      <w:tr>
        <w:tc>
          <w:tcPr>
            <w:tcW w:type="dxa" w:w="5112"/>
          </w:tcPr>
          <w:p>
            <w:r>
              <w:t>Injection boundary</w:t>
            </w:r>
          </w:p>
        </w:tc>
        <w:tc>
          <w:tcPr>
            <w:tcW w:type="dxa" w:w="5112"/>
          </w:tcPr>
          <w:p>
            <w:r>
              <w:t>A separation preventing data from becoming executable control</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Inputs A1 and delete_all() are supplied to room lookup.</w:t>
      </w:r>
    </w:p>
    <w:p>
      <w:r>
        <w:t>A1 passes the format; delete_all() fails. Neither is executed as code, including any instruction-shaped string.</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import re</w:t>
        <w:br/>
        <w:br/>
        <w:t>def validate_identifier(value):</w:t>
        <w:br/>
        <w:t xml:space="preserve">    return type(value) is str and re.fullmatch('[A-Z][0-9]', value) is not None</w:t>
        <w:br/>
        <w:br/>
        <w:t>print(validate_identifier("B2"))</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Untrusted input boundaries</w:t>
      </w:r>
    </w:p>
    <w:p>
      <w:r>
        <w:t>Check shape before permission. A toy tool accepts exactly one ASCII lowercase letter followed by one digit, with no trimming.</w:t>
      </w:r>
    </w:p>
    <w:p>
      <w:pPr>
        <w:pStyle w:val="Heading3"/>
      </w:pPr>
      <w:r>
        <w:t>The facts we will use</w:t>
      </w:r>
    </w:p>
    <w:p>
      <w:r>
        <w:t>Inputs h3, H3, h30 and "h3 ". Shape acceptance never grants access by itself.</w:t>
      </w:r>
    </w:p>
    <w:p>
      <w:r>
        <w:drawing>
          <wp:inline xmlns:a="http://schemas.openxmlformats.org/drawingml/2006/main" xmlns:pic="http://schemas.openxmlformats.org/drawingml/2006/picture">
            <wp:extent cx="5486400" cy="5185229"/>
            <wp:docPr id="1" name="Picture 1" descr="Untrusted input boundaries. Validate h3: Two characters with the required case and digit pass.. Reject wrong shapes: H3 has wrong case; h30 and the trailing-space input have wrong length.. Check authority next: An accepted identifier still needs trusted authorisation."/>
            <wp:cNvGraphicFramePr>
              <a:graphicFrameLocks noChangeAspect="1"/>
            </wp:cNvGraphicFramePr>
            <a:graphic>
              <a:graphicData uri="http://schemas.openxmlformats.org/drawingml/2006/picture">
                <pic:pic>
                  <pic:nvPicPr>
                    <pic:cNvPr id="0" name="academy-visual-ai-6-18.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 h3</w:t>
            </w:r>
          </w:p>
        </w:tc>
        <w:tc>
          <w:tcPr>
            <w:tcW w:type="dxa" w:w="5112"/>
          </w:tcPr>
          <w:p>
            <w:r>
              <w:t>Two characters with the required case and digit pass.</w:t>
            </w:r>
          </w:p>
        </w:tc>
      </w:tr>
      <w:tr>
        <w:tc>
          <w:tcPr>
            <w:tcW w:type="dxa" w:w="5112"/>
          </w:tcPr>
          <w:p>
            <w:r>
              <w:t>2. Reject wrong shapes</w:t>
            </w:r>
          </w:p>
        </w:tc>
        <w:tc>
          <w:tcPr>
            <w:tcW w:type="dxa" w:w="5112"/>
          </w:tcPr>
          <w:p>
            <w:r>
              <w:t>H3 has wrong case; h30 and the trailing-space input have wrong length.</w:t>
            </w:r>
          </w:p>
        </w:tc>
      </w:tr>
      <w:tr>
        <w:tc>
          <w:tcPr>
            <w:tcW w:type="dxa" w:w="5112"/>
          </w:tcPr>
          <w:p>
            <w:r>
              <w:t>3. Check authority next</w:t>
            </w:r>
          </w:p>
        </w:tc>
        <w:tc>
          <w:tcPr>
            <w:tcW w:type="dxa" w:w="5112"/>
          </w:tcPr>
          <w:p>
            <w:r>
              <w:t>An accepted identifier still needs trusted authorisation.</w:t>
            </w:r>
          </w:p>
        </w:tc>
      </w:tr>
    </w:tbl>
    <w:p>
      <w:r>
        <w:t>Match each pictured step to the supplied facts. This is a worked teaching case, not an independent assessment.</w:t>
      </w:r>
    </w:p>
    <w:p>
      <w:pPr>
        <w:pStyle w:val="Heading3"/>
      </w:pPr>
      <w:r>
        <w:t>Why this result follows</w:t>
      </w:r>
    </w:p>
    <w:p>
      <w:r>
        <w:t>Input shape and permission answer different questions. Silently normalising these inputs would change the stated contract.</w:t>
      </w:r>
    </w:p>
    <w:p>
      <w:pPr>
        <w:pStyle w:val="Heading3"/>
      </w:pPr>
      <w:r>
        <w:t>What this example does not establish</w:t>
      </w:r>
    </w:p>
    <w:p>
      <w:r>
        <w:t>Some systems normalise inputs explicitly; this fictional contract deliberately does not.</w:t>
      </w:r>
    </w:p>
    <w:p>
      <w:r>
        <w:t>Read the labelled picture: Classify h3, H3, h30 and the trailing-space input by the stated shape contract. Does a valid z0 grant record access, and which separate gate still remains?</w:t>
      </w:r>
    </w:p>
    <w:p>
      <w:r>
        <w:t>Change one thing: Replace h3 with z0. Predict the result before checking the explanation. What remains the same?</w:t>
      </w:r>
    </w:p>
    <w:p>
      <w:pPr>
        <w:pStyle w:val="Heading1"/>
      </w:pPr>
      <w:r>
        <w:t>07. Find and repair a mistake</w:t>
      </w:r>
    </w:p>
    <w:p>
      <w:r>
        <w:t>A format check does not grant resource access; authorisation follows separately.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format check does not grant resource access; authorisation follows separately.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“Untrusted input boundaries”.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Untrusted input boundaries.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Classify h3, H3, h30 and the trailing-space input by the stated shape contract. Does a valid z0 grant record access, and which separate gate still remains?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Inputs A1 and delete_all() are supplied to room lookup. Show the intermediate steps and give the conclusion with its scope.</w:t>
      </w:r>
    </w:p>
    <w:p>
      <w:r>
        <w:rPr>
          <w:rFonts w:ascii="Courier New" w:hAnsi="Courier New"/>
          <w:sz w:val="18"/>
        </w:rPr>
        <w:t>import re</w:t>
        <w:br/>
        <w:br/>
        <w:t>def validate_identifier(value):</w:t>
        <w:br/>
        <w:t xml:space="preserve">    return type(value) is str and re.fullmatch('[A-Z][0-9]', value) is not None</w:t>
        <w:br/>
        <w:br/>
        <w:t>print(validate_identifier("B2"))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format check does not grant resource access; authorisation follows separately.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untrusted input boundaries evidence sheet to Grounded Learning Service. Show how you can explain the mechanism and terminology of untrusted input boundaries.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Untrusted input boundaries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Inputs A1 and delete_all() are supplied to room lookup.</w:t>
            </w:r>
          </w:p>
        </w:tc>
        <w:tc>
          <w:tcPr>
            <w:tcW w:type="dxa" w:w="3408"/>
          </w:tcPr>
          <w:p>
            <w:r>
              <w:t>For the toy lookup accept room IDs matching one uppercase letter plus one digit. Perform exact dictionary lookup; never evaluate user strings as code. Reject invalid length or characters.</w:t>
            </w:r>
          </w:p>
        </w:tc>
        <w:tc>
          <w:tcPr>
            <w:tcW w:type="dxa" w:w="3408"/>
          </w:tcPr>
          <w:p>
            <w:r>
              <w:t>A1 passes the format; delete_all() fails. Neither is executed as code, including any instruction-shaped string.</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Changed independent case</w:t>
      </w:r>
    </w:p>
    <w:p>
      <w:r>
        <w:t>Input format is exactly one ASCII uppercase letter followed by one digit, with no trimming. Evaluate C0, c0, C00, "C0 ", and None. Does a valid format grant access?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Classify B2, b2, B22 and B2; DROP under the exact format.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Check shape before permission. A toy tool accepts exactly one ASCII lowercase letter followed by one digit, with no trimming.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untrusted input boundaries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untrusted input boundaries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Check shape before permission. A toy tool accepts exactly one ASCII lowercase letter followed by one digit, with no trimming.</w:t>
      </w:r>
    </w:p>
    <w:p>
      <w:pPr>
        <w:pStyle w:val="Heading3"/>
      </w:pPr>
      <w:r>
        <w:t>Practice 1: explain the deciding evidence</w:t>
      </w:r>
    </w:p>
    <w:p>
      <w:r>
        <w:t>Which labelled step matches this detail? An accepted identifier still needs trusted authorisation.</w:t>
      </w:r>
    </w:p>
    <w:p>
      <w:r>
        <w:t>1. Reject wrong shapes</w:t>
      </w:r>
    </w:p>
    <w:p>
      <w:r>
        <w:t>2. Check authority next</w:t>
      </w:r>
    </w:p>
    <w:p>
      <w:r>
        <w:t>3. Validate h3</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Check authority next An accepted identifier still needs trusted authorisation. Input shape and permission answer different questions. Silently normalising these inputs would change the stated contract.</w:t>
      </w:r>
    </w:p>
    <w:p>
      <w:pPr>
        <w:pStyle w:val="Heading3"/>
      </w:pPr>
      <w:r>
        <w:t>Practice 2: explain the deciding evidence</w:t>
      </w:r>
    </w:p>
    <w:p>
      <w:r>
        <w:t>Changed-case practice: Replace h3 with z0. Which conclusion is supported by the supplied facts?</w:t>
      </w:r>
    </w:p>
    <w:p>
      <w:r>
        <w:t>1. We can decide the result without examining the changed input or the procedure.</w:t>
      </w:r>
    </w:p>
    <w:p>
      <w:r>
        <w:t>2. The shape passes; resource access is still undecided.</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shape passes; resource access is still undecided. Structure contains no evidence of ownership or user permission.</w:t>
      </w:r>
    </w:p>
    <w:p>
      <w:pPr>
        <w:pStyle w:val="Heading3"/>
      </w:pPr>
      <w:r>
        <w:t>Repair a missing building block</w:t>
      </w:r>
    </w:p>
    <w:p>
      <w:r>
        <w:t>Review External side effects and recovery (ai-6/17). Goal: Explain the mechanism and terminology of external side effects and recovery. Short practice: Distinguish a missing printer acknowledgement from confirmed failure. What should happen if J6 is complete, and what evidence changes when J6 is reliably reported absent?. Return to this week and explain what you changed.</w:t>
      </w:r>
    </w:p>
    <w:p>
      <w:r>
        <w:t>Review Approval gates and idempotency (ai-6/15). Goal: Explain the mechanism and terminology of approval gates and idempotency. Short practice: Trace the two deliveries of approved K9. How many reservations should occur, and why can a new K10 for desk 5 not borrow K9’s approval?. Return to this week and explain what you changed.</w:t>
      </w:r>
    </w:p>
    <w:p>
      <w:r>
        <w:t>Review Logs traces and privacy (ai-6/12). Goal: Explain the mechanism and terminology of logs traces and privacy. Short practice: Identify the purpose of R17, C8 and 240 ms in the trace. Which field is deliberately omitted, and why would logging the whole question violate this design?.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