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ai-7/18</w:t>
      </w:r>
    </w:p>
    <w:p>
      <w:pPr>
        <w:pStyle w:val="Title"/>
      </w:pPr>
      <w:r>
        <w:t>Dataset and benchmark limitations</w:t>
      </w:r>
    </w:p>
    <w:p>
      <w:r>
        <w:t>Project: Reproducible AI Research Study</w:t>
      </w:r>
    </w:p>
    <w:p>
      <w:pPr>
        <w:pStyle w:val="Heading1"/>
      </w:pPr>
      <w:r>
        <w:t>Before you start</w:t>
      </w:r>
    </w:p>
    <w:p>
      <w:r>
        <w:t>Recall Sensitivity analysis.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dataset and benchmark limitations.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Sensitivity analysis. Give an example and a mistake that the idea helps you avoid.</w:t>
      </w:r>
    </w:p>
    <w:p>
      <w:r>
        <w:t>Without opening the old lesson, explain one key idea from Multiple comparisons. Give an example and a mistake that the idea helps you avoid.</w:t>
      </w:r>
    </w:p>
    <w:p>
      <w:r>
        <w:t>Without opening the old lesson, explain one key idea from Uncertainty intervals.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dataset and benchmark limitations</w:t>
      </w:r>
    </w:p>
    <w:p>
      <w:r>
        <w:t>Apply the stated procedure to a new case with a traceable result</w:t>
      </w:r>
    </w:p>
    <w:p>
      <w:r>
        <w:t>Identify an assumption or limitation and design a revealing follow-up</w:t>
      </w:r>
    </w:p>
    <w:p>
      <w:pPr>
        <w:pStyle w:val="Heading3"/>
      </w:pPr>
      <w:r>
        <w:t>Retrieve what you already know</w:t>
      </w:r>
    </w:p>
    <w:p>
      <w:r>
        <w:t>Recall Sensitivity analysis.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dataset and benchmark limitations using the records and boundaries of this fictional investigation.</w:t>
      </w:r>
    </w:p>
    <w:p>
      <w:pPr>
        <w:pStyle w:val="Heading1"/>
      </w:pPr>
      <w:r>
        <w:t>02. Notice the evidence</w:t>
      </w:r>
    </w:p>
    <w:p>
      <w:r>
        <w:t>A benchmark measures performance on its particular data and labels. Duplicates, obsolete cases or poor coverage can weaken claims.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Inspect eligibility, source dates, related units and label definitions before scoring. Deduplicate by declared unit identity, not merely file name; report excluded and unassessed cases.</w:t>
      </w:r>
    </w:p>
    <w:p>
      <w:pPr>
        <w:pStyle w:val="Heading3"/>
      </w:pPr>
      <w:r>
        <w:t>Dataset and benchmark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benchmark rows include three copies of one source and seven other unique sources.</w:t>
            </w:r>
          </w:p>
        </w:tc>
        <w:tc>
          <w:tcPr>
            <w:tcW w:type="dxa" w:w="3408"/>
          </w:tcPr>
          <w:p>
            <w:r>
              <w:t>Inspect eligibility, source dates, related units and label definitions before scoring. Deduplicate by declared unit identity, not merely file name; report excluded and unassessed cases.</w:t>
            </w:r>
          </w:p>
        </w:tc>
        <w:tc>
          <w:tcPr>
            <w:tcW w:type="dxa" w:w="3408"/>
          </w:tcPr>
          <w:p>
            <w:r>
              <w:t>Eight unique source units, not ten independent sources. Identify duplicate weighting before analysis; do not silently discard results.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Ten benchmark rows include three copies of one source and seven other unique sources.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four reserved outdoor cases, of which two are correct.</w:t>
      </w:r>
    </w:p>
    <w:p>
      <w:r>
        <w:t>Prediction: Report the outdoor slice as 2/4=50%, separately from indoor results.</w:t>
      </w:r>
    </w:p>
    <w:p>
      <w:r>
        <w:t>Reason: The new records finally measure the missing condition, with a small denominator.</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Benchmark</w:t>
            </w:r>
          </w:p>
        </w:tc>
        <w:tc>
          <w:tcPr>
            <w:tcW w:type="dxa" w:w="5112"/>
          </w:tcPr>
          <w:p>
            <w:r>
              <w:t>A declared task dataset and scoring procedure</w:t>
            </w:r>
          </w:p>
        </w:tc>
      </w:tr>
      <w:tr>
        <w:tc>
          <w:tcPr>
            <w:tcW w:type="dxa" w:w="5112"/>
          </w:tcPr>
          <w:p>
            <w:r>
              <w:t>Duplicate unit</w:t>
            </w:r>
          </w:p>
        </w:tc>
        <w:tc>
          <w:tcPr>
            <w:tcW w:type="dxa" w:w="5112"/>
          </w:tcPr>
          <w:p>
            <w:r>
              <w:t>Repeated representation of the same underlying entity</w:t>
            </w:r>
          </w:p>
        </w:tc>
      </w:tr>
      <w:tr>
        <w:tc>
          <w:tcPr>
            <w:tcW w:type="dxa" w:w="5112"/>
          </w:tcPr>
          <w:p>
            <w:r>
              <w:t>Coverage gap</w:t>
            </w:r>
          </w:p>
        </w:tc>
        <w:tc>
          <w:tcPr>
            <w:tcW w:type="dxa" w:w="5112"/>
          </w:tcPr>
          <w:p>
            <w:r>
              <w:t>A relevant condition absent from evaluated data</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Ten benchmark rows include three copies of one source and seven other unique sources.</w:t>
      </w:r>
    </w:p>
    <w:p>
      <w:r>
        <w:t>Eight unique source units, not ten independent sources. Identify duplicate weighting before analysis; do not silently discard results.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Dataset and benchmark limitations</w:t>
      </w:r>
    </w:p>
    <w:p>
      <w:r>
        <w:t>A benchmark can miss the intended setting. A plant model is evaluated on clean indoor photos but proposed for shaded outdoor photos.</w:t>
      </w:r>
    </w:p>
    <w:p>
      <w:pPr>
        <w:pStyle w:val="Heading3"/>
      </w:pPr>
      <w:r>
        <w:t>The facts we will use</w:t>
      </w:r>
    </w:p>
    <w:p>
      <w:r>
        <w:t>Indoor benchmark: 9/10 correct. No outdoor cases are present. The same model is intended for both.</w:t>
      </w:r>
    </w:p>
    <w:p>
      <w:r>
        <w:drawing>
          <wp:inline xmlns:a="http://schemas.openxmlformats.org/drawingml/2006/main" xmlns:pic="http://schemas.openxmlformats.org/drawingml/2006/picture">
            <wp:extent cx="5486400" cy="3077029"/>
            <wp:docPr id="1" name="Picture 1" descr="Benchmark conditions"/>
            <wp:cNvGraphicFramePr>
              <a:graphicFrameLocks noChangeAspect="1"/>
            </wp:cNvGraphicFramePr>
            <a:graphic>
              <a:graphicData uri="http://schemas.openxmlformats.org/drawingml/2006/picture">
                <pic:pic>
                  <pic:nvPicPr>
                    <pic:cNvPr id="0" name="academy-detail-ai-7-18.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ataset and benchmark limitations. Name measured setting: All ten benchmark images are clean indoor photos.. Report the result: The observed indoor score is 90%.. Name missing evidence: Outdoor shade performance remains unmeasured."/>
            <wp:cNvGraphicFramePr>
              <a:graphicFrameLocks noChangeAspect="1"/>
            </wp:cNvGraphicFramePr>
            <a:graphic>
              <a:graphicData uri="http://schemas.openxmlformats.org/drawingml/2006/picture">
                <pic:pic>
                  <pic:nvPicPr>
                    <pic:cNvPr id="0" name="academy-visual-ai-7-18.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measured setting</w:t>
            </w:r>
          </w:p>
        </w:tc>
        <w:tc>
          <w:tcPr>
            <w:tcW w:type="dxa" w:w="5112"/>
          </w:tcPr>
          <w:p>
            <w:r>
              <w:t>All ten benchmark images are clean indoor photos.</w:t>
            </w:r>
          </w:p>
        </w:tc>
      </w:tr>
      <w:tr>
        <w:tc>
          <w:tcPr>
            <w:tcW w:type="dxa" w:w="5112"/>
          </w:tcPr>
          <w:p>
            <w:r>
              <w:t>2. Report the result</w:t>
            </w:r>
          </w:p>
        </w:tc>
        <w:tc>
          <w:tcPr>
            <w:tcW w:type="dxa" w:w="5112"/>
          </w:tcPr>
          <w:p>
            <w:r>
              <w:t>The observed indoor score is 90%.</w:t>
            </w:r>
          </w:p>
        </w:tc>
      </w:tr>
      <w:tr>
        <w:tc>
          <w:tcPr>
            <w:tcW w:type="dxa" w:w="5112"/>
          </w:tcPr>
          <w:p>
            <w:r>
              <w:t>3. Name missing evidence</w:t>
            </w:r>
          </w:p>
        </w:tc>
        <w:tc>
          <w:tcPr>
            <w:tcW w:type="dxa" w:w="5112"/>
          </w:tcPr>
          <w:p>
            <w:r>
              <w:t>Outdoor shade performance remains unmeasured.</w:t>
            </w:r>
          </w:p>
        </w:tc>
      </w:tr>
    </w:tbl>
    <w:p>
      <w:r>
        <w:t>Match each pictured step to the supplied facts. This is a worked teaching case, not an independent assessment.</w:t>
      </w:r>
    </w:p>
    <w:p>
      <w:pPr>
        <w:pStyle w:val="Heading3"/>
      </w:pPr>
      <w:r>
        <w:t>Why this result follows</w:t>
      </w:r>
    </w:p>
    <w:p>
      <w:r>
        <w:t>A benchmark represents particular tasks and collection conditions. High performance on it cannot automatically establish fitness for a different deployment setting.</w:t>
      </w:r>
    </w:p>
    <w:p>
      <w:pPr>
        <w:pStyle w:val="Heading3"/>
      </w:pPr>
      <w:r>
        <w:t>What this example does not establish</w:t>
      </w:r>
    </w:p>
    <w:p>
      <w:r>
        <w:t>Neither slice estimates all future photos; inspect sampling, labels and grouping.</w:t>
      </w:r>
    </w:p>
    <w:p>
      <w:r>
        <w:t>Read the labelled picture: Report the indoor benchmark with its denominator and missing condition. After two correct outdoor cases out of four are added, what slice rate is supported and what remains uncertain?</w:t>
      </w:r>
    </w:p>
    <w:p>
      <w:r>
        <w:t>Change one thing: Add four reserved outdoor cases, of which two are correct. Predict the result before checking the explanation. What remains the same?</w:t>
      </w:r>
    </w:p>
    <w:p>
      <w:pPr>
        <w:pStyle w:val="Heading1"/>
      </w:pPr>
      <w:r>
        <w:t>07. Find and repair a mistake</w:t>
      </w:r>
    </w:p>
    <w:p>
      <w:r>
        <w:t>Benchmark success does not establish performance on a deployment population missing from its design.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Benchmark success does not establish performance on a deployment population missing from its design.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“Dataset and benchmark limitations”.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Dataset and benchmark limitations.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Report the indoor benchmark with its denominator and missing condition. After two correct outdoor cases out of four are added, what slice rate is supported and what remains uncertain?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Ten benchmark rows include three copies of one source and seven other unique sources.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Benchmark success does not establish performance on a deployment population missing from its design.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dataset and benchmark limitations evidence sheet to Reproducible AI Research Study. Show how you can explain the mechanism and terminology of dataset and benchmark limitations.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Dataset and benchmark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benchmark rows include three copies of one source and seven other unique sources.</w:t>
            </w:r>
          </w:p>
        </w:tc>
        <w:tc>
          <w:tcPr>
            <w:tcW w:type="dxa" w:w="3408"/>
          </w:tcPr>
          <w:p>
            <w:r>
              <w:t>Inspect eligibility, source dates, related units and label definitions before scoring. Deduplicate by declared unit identity, not merely file name; report excluded and unassessed cases.</w:t>
            </w:r>
          </w:p>
        </w:tc>
        <w:tc>
          <w:tcPr>
            <w:tcW w:type="dxa" w:w="3408"/>
          </w:tcPr>
          <w:p>
            <w:r>
              <w:t>Eight unique source units, not ten independent sources. Identify duplicate weighting before analysis; do not silently discard results.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Twelve rows include four copies of one source and eight others. Count unique units and name one coverage concern.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Twelve rows include four copies of one source and eight others. Count unique units and name one coverage concern.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benchmark can miss the intended setting. A plant model is evaluated on clean indoor photos but proposed for shaded outdoor photos.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dataset and benchmark limitations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dataset and benchmark limitations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benchmark can miss the intended setting. A plant model is evaluated on clean indoor photos but proposed for shaded outdoor photos.</w:t>
      </w:r>
    </w:p>
    <w:p>
      <w:pPr>
        <w:pStyle w:val="Heading3"/>
      </w:pPr>
      <w:r>
        <w:t>Practice 1: explain the deciding evidence</w:t>
      </w:r>
    </w:p>
    <w:p>
      <w:r>
        <w:t>Which labelled step matches this detail? Outdoor shade performance remains unmeasured.</w:t>
      </w:r>
    </w:p>
    <w:p>
      <w:r>
        <w:t>1. Report the result</w:t>
      </w:r>
    </w:p>
    <w:p>
      <w:r>
        <w:t>2. Name measured setting</w:t>
      </w:r>
    </w:p>
    <w:p>
      <w:r>
        <w:t>3. Name missing evidence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Name missing evidence Outdoor shade performance remains unmeasured. A benchmark represents particular tasks and collection conditions. High performance on it cannot automatically establish fitness for a different deployment setting.</w:t>
      </w:r>
    </w:p>
    <w:p>
      <w:pPr>
        <w:pStyle w:val="Heading3"/>
      </w:pPr>
      <w:r>
        <w:t>Practice 2: explain the deciding evidence</w:t>
      </w:r>
    </w:p>
    <w:p>
      <w:r>
        <w:t>Changed-case practice: Add four reserved outdoor cases, of which two are correct. Which conclusion is supported by the supplied facts?</w:t>
      </w:r>
    </w:p>
    <w:p>
      <w:r>
        <w:t>1. Report the outdoor slice as 2/4=50%, separately from indoor results.</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Report the outdoor slice as 2/4=50%, separately from indoor results. The new records finally measure the missing condition, with a small denominator.</w:t>
      </w:r>
    </w:p>
    <w:p>
      <w:pPr>
        <w:pStyle w:val="Heading3"/>
      </w:pPr>
      <w:r>
        <w:t>Repair a missing building block</w:t>
      </w:r>
    </w:p>
    <w:p>
      <w:r>
        <w:t>Review Sensitivity analysis (ai-7/17). Goal: Explain the mechanism and terminology of sensitivity analysis. Short practice: Classify 0.4, 0.6 and 0.8 at cutoffs 0.5, 0.7 and exactly 0.6. Which equality rule decides the boundary, and can these unlabelled scores identify the best cutoff?. Return to this week and explain what you changed.</w:t>
      </w:r>
    </w:p>
    <w:p>
      <w:r>
        <w:t>Review Multiple comparisons (ai-7/15). Goal: Explain the mechanism and terminology of multiple comparisons. Short practice: Calculate the six-test cutoff and identify which supplied p-values reject. Why must the team count every planned comparison rather than report only its smallest p-value?. Return to this week and explain what you changed.</w:t>
      </w:r>
    </w:p>
    <w:p>
      <w:r>
        <w:t>Review Uncertainty intervals (ai-7/12). Goal: Explain the mechanism and terminology of uncertainty intervals. Short practice: Locate -0.8 and zero relative to the supplied interval [-1.4,-0.2]. Interpret the sign and confidence-method meaning, then describe what changes with interval [-1.4,0.3]..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