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ai-7/19</w:t>
      </w:r>
    </w:p>
    <w:p>
      <w:pPr>
        <w:pStyle w:val="Title"/>
      </w:pPr>
      <w:r>
        <w:t>Research ethics and consent</w:t>
      </w:r>
    </w:p>
    <w:p>
      <w:r>
        <w:t>Project: Reproducible AI Research Study</w:t>
      </w:r>
    </w:p>
    <w:p>
      <w:pPr>
        <w:pStyle w:val="Heading1"/>
      </w:pPr>
      <w:r>
        <w:t>Before you start</w:t>
      </w:r>
    </w:p>
    <w:p>
      <w:r>
        <w:t>Recall Dataset and benchmark limitations.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research ethics and consent.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Dataset and benchmark limitations. Give an example and a mistake that the idea helps you avoid.</w:t>
      </w:r>
    </w:p>
    <w:p>
      <w:r>
        <w:t>Without opening the old lesson, explain one key idea from Ablation studies. Give an example and a mistake that the idea helps you avoid.</w:t>
      </w:r>
    </w:p>
    <w:p>
      <w:r>
        <w:t>Without opening the old lesson, explain one key idea from Effect size and practical importance.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research ethics and consent</w:t>
      </w:r>
    </w:p>
    <w:p>
      <w:r>
        <w:t>Apply the stated procedure to a new case with a traceable result</w:t>
      </w:r>
    </w:p>
    <w:p>
      <w:r>
        <w:t>Identify an assumption or limitation and design a revealing follow-up</w:t>
      </w:r>
    </w:p>
    <w:p>
      <w:pPr>
        <w:pStyle w:val="Heading3"/>
      </w:pPr>
      <w:r>
        <w:t>Retrieve what you already know</w:t>
      </w:r>
    </w:p>
    <w:p>
      <w:r>
        <w:t>Recall Dataset and benchmark limitations.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research ethics and consent using the records and boundaries of this fictional investigation.</w:t>
      </w:r>
    </w:p>
    <w:p>
      <w:pPr>
        <w:pStyle w:val="Heading1"/>
      </w:pPr>
      <w:r>
        <w:t>02. Notice the evidence</w:t>
      </w:r>
    </w:p>
    <w:p>
      <w:r>
        <w:t>Research ethics considers purpose, burden, voluntary participation and consequences. Approval to teach does not automatically authorise a research data collection.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fictional records for this course. For the supplied classroom policy, a real study needs responsible review, plain-language purpose, opt-in consent and withdrawal handling before collection. Do not implement real recruitment in this exercise.</w:t>
      </w:r>
    </w:p>
    <w:p>
      <w:pPr>
        <w:pStyle w:val="Heading3"/>
      </w:pPr>
      <w:r>
        <w:t>Research ethics and consent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automatically copies student essays into a study because they were submitted for grading.</w:t>
            </w:r>
          </w:p>
        </w:tc>
        <w:tc>
          <w:tcPr>
            <w:tcW w:type="dxa" w:w="3408"/>
          </w:tcPr>
          <w:p>
            <w:r>
              <w:t>Use fictional records for this course. For the supplied classroom policy, a real study needs responsible review, plain-language purpose, opt-in consent and withdrawal handling before collection. Do not implement real recruitment in this exercise.</w:t>
            </w:r>
          </w:p>
        </w:tc>
        <w:tc>
          <w:tcPr>
            <w:tcW w:type="dxa" w:w="3408"/>
          </w:tcPr>
          <w:p>
            <w:r>
              <w:t>The grading purpose does not establish research permission under the policy. Redesign around fictional data or obtain required review and voluntary permission before collection.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Proposal automatically copies student essays into a study because they were submitted for grading.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new project requests the same drawings for an excluded purpose.</w:t>
      </w:r>
    </w:p>
    <w:p>
      <w:r>
        <w:t>Prediction: Do not reuse them under the existing consent; seek the required new authorisation.</w:t>
      </w:r>
    </w:p>
    <w:p>
      <w:r>
        <w:t>Reason: The new purpose falls outside the stated agreement.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Consent</w:t>
            </w:r>
          </w:p>
        </w:tc>
        <w:tc>
          <w:tcPr>
            <w:tcW w:type="dxa" w:w="5112"/>
          </w:tcPr>
          <w:p>
            <w:r>
              <w:t>A declared voluntary permission process</w:t>
            </w:r>
          </w:p>
        </w:tc>
      </w:tr>
      <w:tr>
        <w:tc>
          <w:tcPr>
            <w:tcW w:type="dxa" w:w="5112"/>
          </w:tcPr>
          <w:p>
            <w:r>
              <w:t>Purpose limitation</w:t>
            </w:r>
          </w:p>
        </w:tc>
        <w:tc>
          <w:tcPr>
            <w:tcW w:type="dxa" w:w="5112"/>
          </w:tcPr>
          <w:p>
            <w:r>
              <w:t>Restricting use to the authorised purpose</w:t>
            </w:r>
          </w:p>
        </w:tc>
      </w:tr>
      <w:tr>
        <w:tc>
          <w:tcPr>
            <w:tcW w:type="dxa" w:w="5112"/>
          </w:tcPr>
          <w:p>
            <w:r>
              <w:t>Research burden</w:t>
            </w:r>
          </w:p>
        </w:tc>
        <w:tc>
          <w:tcPr>
            <w:tcW w:type="dxa" w:w="5112"/>
          </w:tcPr>
          <w:p>
            <w:r>
              <w:t>The cost or risk imposed on participants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Proposal automatically copies student essays into a study because they were submitted for grading.</w:t>
      </w:r>
    </w:p>
    <w:p>
      <w:r>
        <w:t>The grading purpose does not establish research permission under the policy. Redesign around fictional data or obtain required review and voluntary permission before collection.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Research ethics and consent</w:t>
      </w:r>
    </w:p>
    <w:p>
      <w:r>
        <w:t>Consent is specific, not universal. A fictional study asks adults to submit anonymous drawings for one pattern-recognition investigation.</w:t>
      </w:r>
    </w:p>
    <w:p>
      <w:pPr>
        <w:pStyle w:val="Heading3"/>
      </w:pPr>
      <w:r>
        <w:t>The facts we will use</w:t>
      </w:r>
    </w:p>
    <w:p>
      <w:r>
        <w:t>Consent covers this study only. It excludes public posting of originals and unrelated face-recognition research.</w:t>
      </w:r>
    </w:p>
    <w:p>
      <w:r>
        <w:drawing>
          <wp:inline xmlns:a="http://schemas.openxmlformats.org/drawingml/2006/main" xmlns:pic="http://schemas.openxmlformats.org/drawingml/2006/picture">
            <wp:extent cx="5486400" cy="5261429"/>
            <wp:docPr id="1" name="Picture 1" descr="Research ethics and consent. State the purpose: Explain the drawing task and planned use before participation.. Respect exclusions: Do not publish originals or transfer them to the unrelated project.. Keep the agreement: Record permitted uses and the approved withdrawal procedure."/>
            <wp:cNvGraphicFramePr>
              <a:graphicFrameLocks noChangeAspect="1"/>
            </wp:cNvGraphicFramePr>
            <a:graphic>
              <a:graphicData uri="http://schemas.openxmlformats.org/drawingml/2006/picture">
                <pic:pic>
                  <pic:nvPicPr>
                    <pic:cNvPr id="0" name="academy-visual-ai-7-19.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the purpose</w:t>
            </w:r>
          </w:p>
        </w:tc>
        <w:tc>
          <w:tcPr>
            <w:tcW w:type="dxa" w:w="5112"/>
          </w:tcPr>
          <w:p>
            <w:r>
              <w:t>Explain the drawing task and planned use before participation.</w:t>
            </w:r>
          </w:p>
        </w:tc>
      </w:tr>
      <w:tr>
        <w:tc>
          <w:tcPr>
            <w:tcW w:type="dxa" w:w="5112"/>
          </w:tcPr>
          <w:p>
            <w:r>
              <w:t>2. Respect exclusions</w:t>
            </w:r>
          </w:p>
        </w:tc>
        <w:tc>
          <w:tcPr>
            <w:tcW w:type="dxa" w:w="5112"/>
          </w:tcPr>
          <w:p>
            <w:r>
              <w:t>Do not publish originals or transfer them to the unrelated project.</w:t>
            </w:r>
          </w:p>
        </w:tc>
      </w:tr>
      <w:tr>
        <w:tc>
          <w:tcPr>
            <w:tcW w:type="dxa" w:w="5112"/>
          </w:tcPr>
          <w:p>
            <w:r>
              <w:t>3. Keep the agreement</w:t>
            </w:r>
          </w:p>
        </w:tc>
        <w:tc>
          <w:tcPr>
            <w:tcW w:type="dxa" w:w="5112"/>
          </w:tcPr>
          <w:p>
            <w:r>
              <w:t>Record permitted uses and the approved withdrawal procedure.</w:t>
            </w:r>
          </w:p>
        </w:tc>
      </w:tr>
    </w:tbl>
    <w:p>
      <w:r>
        <w:t>Match each pictured step to the supplied facts. This is a worked teaching case, not an independent assessment.</w:t>
      </w:r>
    </w:p>
    <w:p>
      <w:pPr>
        <w:pStyle w:val="Heading3"/>
      </w:pPr>
      <w:r>
        <w:t>Why this result follows</w:t>
      </w:r>
    </w:p>
    <w:p>
      <w:r>
        <w:t>Research ethics includes what people agree to, how they can decline and how risks are addressed. A contribution does not grant unlimited reuse.</w:t>
      </w:r>
    </w:p>
    <w:p>
      <w:pPr>
        <w:pStyle w:val="Heading3"/>
      </w:pPr>
      <w:r>
        <w:t>What this example does not establish</w:t>
      </w:r>
    </w:p>
    <w:p>
      <w:r>
        <w:t>This fictional adult scenario is not approval for research with children; real oversight and applicable rules are separate requirements.</w:t>
      </w:r>
    </w:p>
    <w:p>
      <w:r>
        <w:t>Read the labelled picture: Identify which uses the drawing consent permits and excludes. Can the unrelated project reuse the drawings under this agreement, and what new authorisation would be needed?</w:t>
      </w:r>
    </w:p>
    <w:p>
      <w:r>
        <w:t>Change one thing: A new project requests the same drawings for an excluded purpose. Predict the result before checking the explanation. What remains the same?</w:t>
      </w:r>
    </w:p>
    <w:p>
      <w:pPr>
        <w:pStyle w:val="Heading1"/>
      </w:pPr>
      <w:r>
        <w:t>07. Find and repair a mistake</w:t>
      </w:r>
    </w:p>
    <w:p>
      <w:r>
        <w:t>This classroom policy exercise does not determine real legal or institutional requirements.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This classroom policy exercise does not determine real legal or institutional requirements.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“Research ethics and consent”.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Research ethics and consent.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which uses the drawing consent permits and excludes. Can the unrelated project reuse the drawings under this agreement, and what new authorisation would be needed?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Proposal automatically copies student essays into a study because they were submitted for grading.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This classroom policy exercise does not determine real legal or institutional requirements.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research ethics and consent evidence sheet to Reproducible AI Research Study. Show how you can explain the mechanism and terminology of research ethics and consent.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Research ethics and consent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automatically copies student essays into a study because they were submitted for grading.</w:t>
            </w:r>
          </w:p>
        </w:tc>
        <w:tc>
          <w:tcPr>
            <w:tcW w:type="dxa" w:w="3408"/>
          </w:tcPr>
          <w:p>
            <w:r>
              <w:t>Use fictional records for this course. For the supplied classroom policy, a real study needs responsible review, plain-language purpose, opt-in consent and withdrawal handling before collection. Do not implement real recruitment in this exercise.</w:t>
            </w:r>
          </w:p>
        </w:tc>
        <w:tc>
          <w:tcPr>
            <w:tcW w:type="dxa" w:w="3408"/>
          </w:tcPr>
          <w:p>
            <w:r>
              <w:t>The grading purpose does not establish research permission under the policy. Redesign around fictional data or obtain required review and voluntary permission before collection.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fictional policy requires opt-in; proposal treats silence as agreement and grades participation.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fictional policy requires opt-in; proposal treats silence as agreement and grades participation. Audit.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Consent is specific, not universal. A fictional study asks adults to submit anonymous drawings for one pattern-recognition investigation.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research ethics and consent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research ethics and consent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Consent is specific, not universal. A fictional study asks adults to submit anonymous drawings for one pattern-recognition investigation.</w:t>
      </w:r>
    </w:p>
    <w:p>
      <w:pPr>
        <w:pStyle w:val="Heading3"/>
      </w:pPr>
      <w:r>
        <w:t>Practice 1: explain the deciding evidence</w:t>
      </w:r>
    </w:p>
    <w:p>
      <w:r>
        <w:t>Which labelled step matches this detail? Record permitted uses and the approved withdrawal procedure.</w:t>
      </w:r>
    </w:p>
    <w:p>
      <w:r>
        <w:t>1. State the purpose</w:t>
      </w:r>
    </w:p>
    <w:p>
      <w:r>
        <w:t>2. Keep the agreement</w:t>
      </w:r>
    </w:p>
    <w:p>
      <w:r>
        <w:t>3. Respect exclusions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Keep the agreement Record permitted uses and the approved withdrawal procedure. Research ethics includes what people agree to, how they can decline and how risks are addressed. A contribution does not grant unlimited reuse.</w:t>
      </w:r>
    </w:p>
    <w:p>
      <w:pPr>
        <w:pStyle w:val="Heading3"/>
      </w:pPr>
      <w:r>
        <w:t>Practice 2: explain the deciding evidence</w:t>
      </w:r>
    </w:p>
    <w:p>
      <w:r>
        <w:t>Changed-case practice: A new project requests the same drawings for an excluded purpose. Which conclusion is supported by the supplied facts?</w:t>
      </w:r>
    </w:p>
    <w:p>
      <w:r>
        <w:t>1. This one example guarantees correct results for every future input.</w:t>
      </w:r>
    </w:p>
    <w:p>
      <w:r>
        <w:t>2. Do not reuse them under the existing consent; seek the required new authorisation.</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Do not reuse them under the existing consent; seek the required new authorisation. The new purpose falls outside the stated agreement.</w:t>
      </w:r>
    </w:p>
    <w:p>
      <w:pPr>
        <w:pStyle w:val="Heading3"/>
      </w:pPr>
      <w:r>
        <w:t>Repair a missing building block</w:t>
      </w:r>
    </w:p>
    <w:p>
      <w:r>
        <w:t>Review Dataset and benchmark limitations (ai-7/18). Goal: Explain the mechanism and terminology of dataset and benchmark limitations. Short practice: Report the indoor benchmark with its denominator and missing condition. After two correct outdoor cases out of four are added, what slice rate is supported and what remains uncertain?. Return to this week and explain what you changed.</w:t>
      </w:r>
    </w:p>
    <w:p>
      <w:r>
        <w:t>Review Ablation studies (ai-7/16). Goal: Explain the mechanism and terminology of ablation studies. Short practice: Calculate the filter ablation’s two rates and count change. Which single component is altered, and why does also changing the model prevent isolating the filter?. Return to this week and explain what you changed.</w:t>
      </w:r>
    </w:p>
    <w:p>
      <w:r>
        <w:t>Review Effect size and practical importance (ai-7/13). Goal: Explain the mechanism and terminology of effect size and practical importance. Short practice: Calculate the absolute error-rate reduction from 20/1000 to 15/1000. Does it meet the ten-fewer-errors threshold, and what changes when B has eight errors?.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