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ai-7/20</w:t>
      </w:r>
    </w:p>
    <w:p>
      <w:pPr>
        <w:pStyle w:val="Title"/>
      </w:pPr>
      <w:r>
        <w:t>Privacy and data governance</w:t>
      </w:r>
    </w:p>
    <w:p>
      <w:r>
        <w:t>Project: Reproducible AI Research Study</w:t>
      </w:r>
    </w:p>
    <w:p>
      <w:pPr>
        <w:pStyle w:val="Heading1"/>
      </w:pPr>
      <w:r>
        <w:t>Before you start</w:t>
      </w:r>
    </w:p>
    <w:p>
      <w:r>
        <w:t>Recall Research ethics and consent.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privacy and data governance.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Research ethics and consent. Give an example and a mistake that the idea helps you avoid.</w:t>
      </w:r>
    </w:p>
    <w:p>
      <w:r>
        <w:t>Without opening the old lesson, explain one key idea from Sensitivity analysis. Give an example and a mistake that the idea helps you avoid.</w:t>
      </w:r>
    </w:p>
    <w:p>
      <w:r>
        <w:t>Without opening the old lesson, explain one key idea from Statistical tests and assumptions.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Retrieve what you already know</w:t>
      </w:r>
    </w:p>
    <w:p>
      <w:r>
        <w:t>Recall Research ethics and consent.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privacy and data governance using the records and boundaries of this fictional investigation.</w:t>
      </w:r>
    </w:p>
    <w:p>
      <w:pPr>
        <w:pStyle w:val="Heading1"/>
      </w:pPr>
      <w:r>
        <w:t>02. Notice the evidence</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records separate participant-code table from analysis values; limit access and retention. Remove unnecessary fields and small-group details before a permitted aggregate export.</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Export has coded ID, exact birth date, classroom and rare condition. Team calls it anonymous because names are removed.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r>
        <w:t>Read the labelled picture: Point to the analysis table and the restricted identity key. Why are the codes pseudonymous rather than guaranteed anonymous, and what changes if the key is published?</w:t>
      </w:r>
    </w:p>
    <w:p>
      <w:r>
        <w:t>Change one thing: Publish the identity key with the analysis table. Predict the result before checking the explanation. What remains the same?</w:t>
      </w:r>
    </w:p>
    <w:p>
      <w:pPr>
        <w:pStyle w:val="Heading1"/>
      </w:pPr>
      <w:r>
        <w:t>07. Find and repair a mistake</w:t>
      </w:r>
    </w:p>
    <w:p>
      <w:r>
        <w:t>A size threshold or coding scheme alone does not guarantee privacy.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size threshold or coding scheme alone does not guarantee privacy.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“Privacy and data governance”.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Privacy and data governance.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analysis table and the restricted identity key. Why are the codes pseudonymous rather than guaranteed anonymous, and what changes if the key is published?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Export has coded ID, exact birth date, classroom and rare condition. Team calls it anonymous because names are removed.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size threshold or coding scheme alone does not guarantee privacy.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Aggregate contains one member in a subgroup; policy forbids subgroup reports smaller than5.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Govern data by purpose and access. A fictional project needs task scores and random participant codes, but not names.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privacy and data governance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privacy and data governance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Govern data by purpose and access. A fictional project needs task scores and random participant codes, but not names.</w:t>
      </w:r>
    </w:p>
    <w:p>
      <w:pPr>
        <w:pStyle w:val="Heading3"/>
      </w:pPr>
      <w:r>
        <w:t>Practice 1: explain the deciding evidence</w:t>
      </w:r>
    </w:p>
    <w:p>
      <w:r>
        <w:t>Which labelled step matches this detail? Apply the approved deletion schedule to both stores and listed copies.</w:t>
      </w:r>
    </w:p>
    <w:p>
      <w:r>
        <w:t>1. Define retention</w:t>
      </w:r>
    </w:p>
    <w:p>
      <w:r>
        <w:t>2. Separate tables</w:t>
      </w:r>
    </w:p>
    <w:p>
      <w:r>
        <w:t>3. Limit access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Define retention Apply the approved deletion schedule to both stores and listed copies. Pseudonymous codes reduce routine exposure but are not the same as irreversible anonymity. Governance specifies purpose, readers, locations and retention.</w:t>
      </w:r>
    </w:p>
    <w:p>
      <w:pPr>
        <w:pStyle w:val="Heading3"/>
      </w:pPr>
      <w:r>
        <w:t>Practice 2: explain the deciding evidence</w:t>
      </w:r>
    </w:p>
    <w:p>
      <w:r>
        <w:t>Changed-case practice: Publish the identity key with the analysis table. Which conclusion is supported by the supplied facts?</w:t>
      </w:r>
    </w:p>
    <w:p>
      <w:r>
        <w:t>1. The records become directly linkable to names and breach this access design.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records become directly linkable to names and breach this access design. Separation only helps while the linkage key remains restricted.</w:t>
      </w:r>
    </w:p>
    <w:p>
      <w:pPr>
        <w:pStyle w:val="Heading3"/>
      </w:pPr>
      <w:r>
        <w:t>Repair a missing building block</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