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ai-6/28</w:t>
      </w:r>
    </w:p>
    <w:p>
      <w:pPr>
        <w:pStyle w:val="Title"/>
      </w:pPr>
      <w:r>
        <w:t>Accessibility and user feedback</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accessibility and user feedback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Human escalation workflows</w:t>
      </w:r>
    </w:p>
    <w:p>
      <w:r>
        <w:t>Without opening the old lesson, explain one key idea from Human escalation workflows. Give an example and a mistake that the idea helps you avoid.</w:t>
      </w:r>
    </w:p>
    <w:p>
      <w:r>
        <w:t>Look for: Explain the mechanism and terminology of human escalation workflows</w:t>
      </w:r>
    </w:p>
    <w:p>
      <w:r>
        <w:t>Reference example, not the only acceptable wording: Teacher explanation: Escalation routes unresolved decisions to an authorised person with sufficient context. It must define owner, deadline and fallback. Toy workflow routes conflicting room approval to coordinator with source IDs and requested decision. While awaiting review the assistant returns needs_review and performs no booking.</w:t>
      </w:r>
    </w:p>
    <w:p>
      <w:pPr>
        <w:pStyle w:val="Heading3"/>
      </w:pPr>
      <w:r>
        <w:t>Monitoring quality drift</w:t>
      </w:r>
    </w:p>
    <w:p>
      <w:r>
        <w:t>Without opening the old lesson, explain one key idea from Monitoring quality drift. Give an example and a mistake that the idea helps you avoid.</w:t>
      </w:r>
    </w:p>
    <w:p>
      <w:r>
        <w:t>Look for: Explain the mechanism and terminology of monitoring quality drift</w:t>
      </w:r>
    </w:p>
    <w:p>
      <w:r>
        <w:t>Reference example, not the only acceptable wording: Teacher explanation: Monitoring compares current outcomes with a declared reference and sampling protocol. A change in observed quality may reflect case mix or instrumentation. For each window report eligible counts, passes, missing outcomes and condition mix. Alert when success falls below the toy80% threshold; investigate before attributing cause.</w:t>
      </w:r>
    </w:p>
    <w:p>
      <w:pPr>
        <w:pStyle w:val="Heading3"/>
      </w:pPr>
      <w:r>
        <w:t>Queues and asynchronous work</w:t>
      </w:r>
    </w:p>
    <w:p>
      <w:r>
        <w:t>Without opening the old lesson, explain one key idea from Queues and asynchronous work. Give an example and a mistake that the idea helps you avoid.</w:t>
      </w:r>
    </w:p>
    <w:p>
      <w:r>
        <w:t>Look for: Explain the mechanism and terminology of queues and asynchronous work</w:t>
      </w:r>
    </w:p>
    <w:p>
      <w:r>
        <w:t>Reference example, not the only acceptable wording: Teacher explanation: Queues separate acceptance from completion. Work may be redelivered, so consumers must preserve operation IDs and deduplicate committed effects. A queued job is pending, running, completed or failed. Acknowledge only after the declared durable completion step. A repeated completed ID returns its prior result; unknown status needs reconciliation.</w:t>
      </w:r>
    </w:p>
    <w:p>
      <w:r>
        <w:t>Two 45-minute sessions. Accessibility makes information and controls usable across stated needs. Feedback should describe the problem and recovery action without exposing sensitive details.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accessibility and user feedback</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accessibility and user feedback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Accessibility makes information and controls usable across stated needs. Feedback should describe the problem and recovery action without exposing sensitive details.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form provides visible labels, keyboard access, associated error text and a non-colour status indicator. Test at zoom and with keyboard. Do not treat automated checks as a complete user evaluation.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Accessible label</w:t>
            </w:r>
          </w:p>
        </w:tc>
        <w:tc>
          <w:tcPr>
            <w:tcW w:type="dxa" w:w="5112"/>
          </w:tcPr>
          <w:p>
            <w:r>
              <w:t>Text identifying a control's purpose</w:t>
            </w:r>
          </w:p>
        </w:tc>
      </w:tr>
      <w:tr>
        <w:tc>
          <w:tcPr>
            <w:tcW w:type="dxa" w:w="5112"/>
          </w:tcPr>
          <w:p>
            <w:r>
              <w:t>Focus order</w:t>
            </w:r>
          </w:p>
        </w:tc>
        <w:tc>
          <w:tcPr>
            <w:tcW w:type="dxa" w:w="5112"/>
          </w:tcPr>
          <w:p>
            <w:r>
              <w:t>The sequence of keyboard navigation</w:t>
            </w:r>
          </w:p>
        </w:tc>
      </w:tr>
      <w:tr>
        <w:tc>
          <w:tcPr>
            <w:tcW w:type="dxa" w:w="5112"/>
          </w:tcPr>
          <w:p>
            <w:r>
              <w:t>Actionable error</w:t>
            </w:r>
          </w:p>
        </w:tc>
        <w:tc>
          <w:tcPr>
            <w:tcW w:type="dxa" w:w="5112"/>
          </w:tcPr>
          <w:p>
            <w:r>
              <w:t>A message explaining how to recover</w:t>
            </w:r>
          </w:p>
        </w:tc>
      </w:tr>
    </w:tbl>
    <w:p>
      <w:pPr>
        <w:pStyle w:val="Heading3"/>
      </w:pPr>
      <w:r>
        <w:t>Accessibility and user feedback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invalid room is marked only by a red border; no text error or associated label is provided.</w:t>
            </w:r>
          </w:p>
        </w:tc>
        <w:tc>
          <w:tcPr>
            <w:tcW w:type="dxa" w:w="3408"/>
          </w:tcPr>
          <w:p>
            <w:r>
              <w:t>A form provides visible labels, keyboard access, associated error text and a non-colour status indicator. Test at zoom and with keyboard. Do not treat automated checks as a complete user evaluation.</w:t>
            </w:r>
          </w:p>
        </w:tc>
        <w:tc>
          <w:tcPr>
            <w:tcW w:type="dxa" w:w="3408"/>
          </w:tcPr>
          <w:p>
            <w:r>
              <w:t>Colour alone does not communicate the failure to all users. Add labelled error text and an actionable correction; retain keyboard navigation.</w:t>
            </w:r>
          </w:p>
        </w:tc>
      </w:tr>
    </w:tbl>
    <w:p>
      <w:r>
        <w:t>The figure connects this chapter's worked input, declared procedure and result. Read the complete worked reasoning for qualifiers and intermediate steps; the abbreviated labels do not replace that reasoning.</w:t>
      </w:r>
    </w:p>
    <w:p>
      <w:r>
        <w:t>Guided: Colour alone does not communicate the failure to all users. Add labelled error text and an actionable correction; retain keyboard navigation. Qualification: Accessibility requirements need real interaction checks and appropriate user feedback; a checklist alone is incomplete.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An invalid room is marked only by a red border; no text error or associated label is provided.</w:t>
      </w:r>
    </w:p>
    <w:p>
      <w:r>
        <w:t>Colour alone does not communicate the failure to all users. Add labelled error text and an actionable correction; retain keyboard navigation.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Accessibility and user feedback</w:t>
      </w:r>
    </w:p>
    <w:p>
      <w:r>
        <w:t>Make feedback accessible. An app marks an incomplete answer with a red circle only; a revision adds equivalent text and keyboard access.</w:t>
      </w:r>
    </w:p>
    <w:p>
      <w:pPr>
        <w:pStyle w:val="Heading3"/>
      </w:pPr>
      <w:r>
        <w:t>The facts we will use</w:t>
      </w:r>
    </w:p>
    <w:p>
      <w:r>
        <w:t>New text: "More explanation needed". The next-action link is labelled and focusable; status is exposed to assistive technology.</w:t>
      </w:r>
    </w:p>
    <w:p>
      <w:r>
        <w:drawing>
          <wp:inline xmlns:a="http://schemas.openxmlformats.org/drawingml/2006/main" xmlns:pic="http://schemas.openxmlformats.org/drawingml/2006/picture">
            <wp:extent cx="5486400" cy="5185229"/>
            <wp:docPr id="1" name="Picture 1" descr="Accessibility and user feedback. Find the barrier: Colour alone may not communicate the status to every learner.. Provide meaning: Text and programmatic status explain the same result.. Test next action: A keyboard user can reach the labelled explanation link."/>
            <wp:cNvGraphicFramePr>
              <a:graphicFrameLocks noChangeAspect="1"/>
            </wp:cNvGraphicFramePr>
            <a:graphic>
              <a:graphicData uri="http://schemas.openxmlformats.org/drawingml/2006/picture">
                <pic:pic>
                  <pic:nvPicPr>
                    <pic:cNvPr id="0" name="academy-visual-ai-6-2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barrier</w:t>
            </w:r>
          </w:p>
        </w:tc>
        <w:tc>
          <w:tcPr>
            <w:tcW w:type="dxa" w:w="5112"/>
          </w:tcPr>
          <w:p>
            <w:r>
              <w:t>Colour alone may not communicate the status to every learner.</w:t>
            </w:r>
          </w:p>
        </w:tc>
      </w:tr>
      <w:tr>
        <w:tc>
          <w:tcPr>
            <w:tcW w:type="dxa" w:w="5112"/>
          </w:tcPr>
          <w:p>
            <w:r>
              <w:t>2. Provide meaning</w:t>
            </w:r>
          </w:p>
        </w:tc>
        <w:tc>
          <w:tcPr>
            <w:tcW w:type="dxa" w:w="5112"/>
          </w:tcPr>
          <w:p>
            <w:r>
              <w:t>Text and programmatic status explain the same result.</w:t>
            </w:r>
          </w:p>
        </w:tc>
      </w:tr>
      <w:tr>
        <w:tc>
          <w:tcPr>
            <w:tcW w:type="dxa" w:w="5112"/>
          </w:tcPr>
          <w:p>
            <w:r>
              <w:t>3. Test next action</w:t>
            </w:r>
          </w:p>
        </w:tc>
        <w:tc>
          <w:tcPr>
            <w:tcW w:type="dxa" w:w="5112"/>
          </w:tcPr>
          <w:p>
            <w:r>
              <w:t>A keyboard user can reach the labelled explanation link.</w:t>
            </w:r>
          </w:p>
        </w:tc>
      </w:tr>
    </w:tbl>
    <w:p>
      <w:r>
        <w:t>Match each pictured step to the supplied facts. This is a worked teaching case, not an independent assessment.</w:t>
      </w:r>
    </w:p>
    <w:p>
      <w:pPr>
        <w:pStyle w:val="Heading3"/>
      </w:pPr>
      <w:r>
        <w:t>Why this result follows</w:t>
      </w:r>
    </w:p>
    <w:p>
      <w:r>
        <w:t>Accessibility offers the same meaning and actions through usable channels. Feedback should say what to improve, not merely show a mark.</w:t>
      </w:r>
    </w:p>
    <w:p>
      <w:pPr>
        <w:pStyle w:val="Heading3"/>
      </w:pPr>
      <w:r>
        <w:t>What this example does not establish</w:t>
      </w:r>
    </w:p>
    <w:p>
      <w:r>
        <w:t>One keyboard check is not a complete accessibility audit; test relevant assistive technologies and gather user feedback.</w:t>
      </w:r>
    </w:p>
    <w:p>
      <w:pPr>
        <w:pStyle w:val="Heading3"/>
      </w:pPr>
      <w:r>
        <w:t>Change one thing in the pictured case</w:t>
      </w:r>
    </w:p>
    <w:p>
      <w:r>
        <w:t>Change: Change the circle to orange without labels.</w:t>
      </w:r>
    </w:p>
    <w:p>
      <w:r>
        <w:t>Prediction: The colour-only communication barrier remains.</w:t>
      </w:r>
    </w:p>
    <w:p>
      <w:r>
        <w:t>Reason: A different hue supplies no textual or programmatic equivalent.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An invalid room is marked only by a red border; no text error or associated label is provided. Show the intermediate steps and give the conclusion with its scope.</w:t>
      </w:r>
    </w:p>
    <w:p>
      <w:r>
        <w:t>Teacher check: Teacher explanation: Colour alone does not communicate the failure to all users. Add labelled error text and an actionable correction; retain keyboard navigation.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Accessibility and user feedback. Proposed explanation: “The worked result establishes every future case”. Decide whether this explanation is supported. Point to the step or supplied fact that decides; explain your repair if needed.</w:t>
      </w:r>
    </w:p>
    <w:p>
      <w:r>
        <w:t>Expected correction: Accessibility requirements need real interaction checks and appropriate user feedback; a checklist alone is incomplete.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what each text, keyboard and assistive-technology change adds to the feedback. Why does changing the red circle to orange alone not solve the communication barrier?</w:t>
      </w:r>
    </w:p>
    <w:p>
      <w:pPr>
        <w:pStyle w:val="Heading3"/>
      </w:pPr>
      <w:r>
        <w:t>Reasoned teacher answer</w:t>
      </w:r>
    </w:p>
    <w:p>
      <w:r>
        <w:t>Colour alone may not communicate the status to every learner. Text and programmatic status explain the same result. A keyboard user can reach the labelled explanation link. Changed case: The colour-only communication barrier remains. A different hue supplies no textual or programmatic equivalent.</w:t>
      </w:r>
    </w:p>
    <w:p>
      <w:r>
        <w:t>Changed-case reasoning: The colour-only communication barrier remains. A different hue supplies no textual or programmatic equivalent.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Accessibility requirements need real interaction checks and appropriate user feedback; a checklist alone is incomplete.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Colour alone does not communicate the failure to all users. Add labelled error text and an actionable correction; retain keyboard navigation. Qualification: Accessibility requirements need real interaction checks and appropriate user feedback; a checklist alone is incomplete.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Accessibility makes information and controls usable across stated needs. Feedback should describe the problem and recovery action without exposing sensitive details. A form provides visible labels, keyboard access, associated error text and a non-colour status indicator. Test at zoom and with keyboard. Do not treat automated checks as a complete user evaluation.</w:t>
      </w:r>
    </w:p>
    <w:p>
      <w:pPr>
        <w:pStyle w:val="Heading3"/>
      </w:pPr>
      <w:r>
        <w:t>W2 Trace the worked case</w:t>
      </w:r>
    </w:p>
    <w:p>
      <w:r>
        <w:t>An invalid room is marked only by a red border; no text error or associated label is provided. Show the intermediate steps and give the conclusion with its scope.</w:t>
      </w:r>
    </w:p>
    <w:p>
      <w:r>
        <w:t>Teacher explanation: Colour alone does not communicate the failure to all users. Add labelled error text and an actionable correction; retain keyboard navigation.</w:t>
      </w:r>
    </w:p>
    <w:p>
      <w:pPr>
        <w:pStyle w:val="Heading3"/>
      </w:pPr>
      <w:r>
        <w:t>W3 Audit the limit</w:t>
      </w:r>
    </w:p>
    <w:p>
      <w:r>
        <w:t>A report omits this qualification: Accessibility requirements need real interaction checks and appropriate user feedback; a checklist alone is incomplete. Explain how omitting it could change a reader's interpretation, and write an accurate replacement.</w:t>
      </w:r>
    </w:p>
    <w:p>
      <w:r>
        <w:t>Teacher explanation: Accessibility requirements need real interaction checks and appropriate user feedback; a checklist alone is incomplete. State the observed result separately from the unverified or out-of-scope claim; preserve the original evidence rather than inventing a missing fact.</w:t>
      </w:r>
    </w:p>
    <w:p>
      <w:pPr>
        <w:pStyle w:val="Heading3"/>
      </w:pPr>
      <w:r>
        <w:t>W4 Apply a new case independently</w:t>
      </w:r>
    </w:p>
    <w:p>
      <w:r>
        <w:t>Submit is mouse-only; timeout replaces the entire form and loses input. Propose two concrete improvements.</w:t>
      </w:r>
    </w:p>
    <w:p>
      <w:r>
        <w:t>Teacher explanation: Provide keyboard-operable submit and preserve non-sensitive valid input with a clear retry/review message. Verify focus order and error association.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Accessibility requirements need real interaction checks and appropriate user feedback; a checklist alone is incomplete. The new case should test this particular mechanism rather than merely restate the original result.</w:t>
      </w:r>
    </w:p>
    <w:p>
      <w:pPr>
        <w:pStyle w:val="Heading3"/>
      </w:pPr>
      <w:r>
        <w:t>Independent assessment and fresh retry</w:t>
      </w:r>
    </w:p>
    <w:p>
      <w:r>
        <w:t>W4: Provide keyboard-operable submit and preserve non-sensitive valid input with a clear retry/review message. Verify focus order and error association. Require intermediate reasoning and the stated scope. Fresh retry: Status uses a green icon without text; focus jumps unpredictably after error. Expected reasoning: Add status text and manage focus to the relevant error or summary. Test the actual interaction. If students need support, record it and reassess with another new case rather than awarding independence to a copied answer.</w:t>
      </w:r>
    </w:p>
    <w:p>
      <w:pPr>
        <w:pStyle w:val="Heading3"/>
      </w:pPr>
      <w:r>
        <w:t>Assess independent transfer</w:t>
      </w:r>
    </w:p>
    <w:p>
      <w:r>
        <w:t>Selected case: Submit is mouse-only; timeout replaces the entire form and loses input. Propose two concrete improvements.</w:t>
      </w:r>
    </w:p>
    <w:p>
      <w:pPr>
        <w:pStyle w:val="Heading3"/>
      </w:pPr>
      <w:r>
        <w:t>Selected case answer</w:t>
      </w:r>
    </w:p>
    <w:p>
      <w:r>
        <w:t>Teacher explanation: Provide keyboard-operable submit and preserve non-sensitive valid input with a clear retry/review message. Verify focus order and error association.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accessibility and user feedback evidence sheet to Grounded Learning Service. Show how you can explain the mechanism and terminology of accessibility and user feedback.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Performance and cost experiments.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ai-6/29, ai-6/31, ai-6/34.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accessibility and user feedback</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An invalid room is marked only by a red border; no text error or associated label is provided. Show the intermediate steps and give the conclusion with its scope.</w:t>
      </w:r>
    </w:p>
    <w:p>
      <w:r>
        <w:t>Reasoned practice answer: Teacher explanation: Colour alone does not communicate the failure to all users. Add labelled error text and an actionable correction; retain keyboard navigation.</w:t>
      </w:r>
    </w:p>
    <w:p>
      <w:r>
        <w:t>Check every learner before discussion: Use the worked case for Accessibility and user feedback. Proposed explanation: “The worked result establishes every future case”. Decide whether this explanation is supported. Point to the step or supplied fact that decides; explain your repair if needed.</w:t>
      </w:r>
    </w:p>
    <w:p>
      <w:r>
        <w:t>Misconception repair: Accessibility requirements need real interaction checks and appropriate user feedback; a checklist alone is incomplete.</w:t>
      </w:r>
    </w:p>
    <w:p>
      <w:r>
        <w:t>Support: read the exact case aloud, enlarge the labelled picture, supply input cards and model only the first deciding step. Accept a spoken explanation or drawing; retain the reasoning goal.</w:t>
      </w:r>
    </w:p>
    <w:p>
      <w:r>
        <w:t>Extension: Change the circle to orange without labels. Require a prediction and a reason before comparing. Expected result: The colour-only communication barrier remains. Reason: A different hue supplies no textual or programmatic equivalent.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