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ai-7/18</w:t>
      </w:r>
    </w:p>
    <w:p>
      <w:pPr>
        <w:pStyle w:val="Title"/>
      </w:pPr>
      <w:r>
        <w:t>Dataset and benchmark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dataset and benchmark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r>
        <w:t>Two 45-minute sessions. A benchmark measures performance on its particular data and labels. Duplicates, obsolete cases or poor coverage can weaken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dataset and benchmark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dataset and benchmark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benchmark measures performance on its particular data and labels. Duplicates, obsolete cases or poor coverage can weaken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Inspect eligibility, source dates, related units and label definitions before scoring. Deduplicate by declared unit identity, not merely file name; report excluded and unassessed cases.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Guided: Eight unique source units, not ten independent sources. Identify duplicate weighting before analysis; do not silently discard results. Qualification: Benchmark success does not establish performance on a deployment population missing from its design.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benchmark rows include three copies of one source and seven other unique sources.</w:t>
      </w:r>
    </w:p>
    <w:p>
      <w:r>
        <w:t>Eight unique source units, not ten independent sources. Identify duplicate weighting before analysis; do not silently discard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and benchmark limitations</w:t>
      </w:r>
    </w:p>
    <w:p>
      <w:r>
        <w:t>A benchmark can miss the intended setting. A plant model is evaluated on clean indoor photos but proposed for shaded outdoor photos.</w:t>
      </w:r>
    </w:p>
    <w:p>
      <w:pPr>
        <w:pStyle w:val="Heading3"/>
      </w:pPr>
      <w:r>
        <w:t>The facts we will use</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r>
        <w:t>A benchmark represents particular tasks and collection conditions. High performance on it cannot automatically establish fitness for a different deployment setting.</w:t>
      </w:r>
    </w:p>
    <w:p>
      <w:pPr>
        <w:pStyle w:val="Heading3"/>
      </w:pPr>
      <w:r>
        <w:t>What this example does not establish</w:t>
      </w:r>
    </w:p>
    <w:p>
      <w:r>
        <w:t>Neither slice estimates all future photos; inspect sampling, labels and grouping.</w:t>
      </w:r>
    </w:p>
    <w:p>
      <w:pPr>
        <w:pStyle w:val="Heading3"/>
      </w:pPr>
      <w:r>
        <w:t>Change one thing in the pictured case</w:t>
      </w:r>
    </w:p>
    <w:p>
      <w:r>
        <w:t>Change: Add four reserved outdoor cases, of which two are correct.</w:t>
      </w:r>
    </w:p>
    <w:p>
      <w:r>
        <w:t>Prediction: Report the outdoor slice as 2/4=50%, separately from indoor results.</w:t>
      </w:r>
    </w:p>
    <w:p>
      <w:r>
        <w:t>Reason: The new records finally measure the missing condition, with a small denominator.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Ten benchmark rows include three copies of one source and seven other unique sources. Show the intermediate steps and give the conclusion with its scope.</w:t>
      </w:r>
    </w:p>
    <w:p>
      <w:r>
        <w:t>Teacher check: Teacher explanation: Eight unique source units, not ten independent sources. Identify duplicate weighting before analysis; do not silently discard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and benchmark limitations. Proposed explanation: “The worked result establishes every future case”. Decide whether this explanation is supported. Point to the step or supplied fact that decides; explain your repair if needed.</w:t>
      </w:r>
    </w:p>
    <w:p>
      <w:r>
        <w:t>Expected correction: Benchmark success does not establish performance on a deployment population missing from its design.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Report the indoor benchmark with its denominator and missing condition. After two correct outdoor cases out of four are added, what slice rate is supported and what remains uncertain?</w:t>
      </w:r>
    </w:p>
    <w:p>
      <w:pPr>
        <w:pStyle w:val="Heading3"/>
      </w:pPr>
      <w:r>
        <w:t>Reasoned teacher answer</w:t>
      </w:r>
    </w:p>
    <w:p>
      <w:r>
        <w:t>All ten benchmark images are clean indoor photos. The observed indoor score is 90%. Outdoor shade performance remains unmeasured. Changed case: Report the outdoor slice as 2/4=50%, separately from indoor results. The new records finally measure the missing condition, with a small denominator.</w:t>
      </w:r>
    </w:p>
    <w:p>
      <w:r>
        <w:t>Changed-case reasoning: Report the outdoor slice as 2/4=50%, separately from indoor results. The new records finally measure the missing condition, with a small denominator.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Benchmark success does not establish performance on a deployment population missing from its design.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Eight unique source units, not ten independent sources. Identify duplicate weighting before analysis; do not silently discard results. Qualification: Benchmark success does not establish performance on a deployment population missing from its design.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W2 Trace the worked case</w:t>
      </w:r>
    </w:p>
    <w:p>
      <w:r>
        <w:t>Ten benchmark rows include three copies of one source and seven other unique sources. Show the intermediate steps and give the conclusion with its scope.</w:t>
      </w:r>
    </w:p>
    <w:p>
      <w:r>
        <w:t>Teacher explanation: Eight unique source units, not ten independent sources. Identify duplicate weighting before analysis; do not silently discard results.</w:t>
      </w:r>
    </w:p>
    <w:p>
      <w:pPr>
        <w:pStyle w:val="Heading3"/>
      </w:pPr>
      <w:r>
        <w:t>W3 Audit the limit</w:t>
      </w:r>
    </w:p>
    <w:p>
      <w:r>
        <w:t>A report omits this qualification: Benchmark success does not establish performance on a deployment population missing from its design. Explain how omitting it could change a reader's interpretation, and write an accurate replacement.</w:t>
      </w:r>
    </w:p>
    <w:p>
      <w:r>
        <w:t>Teacher explanation: Benchmark success does not establish performance on a deployment population missing from its design. State the observed result separately from the unverified or out-of-scope claim; preserve the original evidence rather than inventing a missing fact.</w:t>
      </w:r>
    </w:p>
    <w:p>
      <w:pPr>
        <w:pStyle w:val="Heading3"/>
      </w:pPr>
      <w:r>
        <w:t>W4 Apply a new case independently</w:t>
      </w:r>
    </w:p>
    <w:p>
      <w:r>
        <w:t>Twelve rows include four copies of one source and eight others. Count unique units and name one coverage concern.</w:t>
      </w:r>
    </w:p>
    <w:p>
      <w:r>
        <w:t>Teacher explanation: Nine unique units. Check whether cases represent requested time, groups and tasks; row count alone does not answer coverage.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Benchmark success does not establish performance on a deployment population missing from its design. The new case should test this particular mechanism rather than merely restate the original result.</w:t>
      </w:r>
    </w:p>
    <w:p>
      <w:pPr>
        <w:pStyle w:val="Heading3"/>
      </w:pPr>
      <w:r>
        <w:t>Independent assessment and fresh retry</w:t>
      </w:r>
    </w:p>
    <w:p>
      <w:r>
        <w:t>W4: Nine unique units. Check whether cases represent requested time, groups and tasks; row count alone does not answer coverage. Require intermediate reasoning and the stated scope. Fresh retry: Eight rows include two copies of a single source and six others. Expected reasoning: Seven unique units. Report duplicate policy and original row inventory. If students need support, record it and reassess with another new case rather than awarding independence to a copied answer.</w:t>
      </w:r>
    </w:p>
    <w:p>
      <w:pPr>
        <w:pStyle w:val="Heading3"/>
      </w:pPr>
      <w:r>
        <w:t>Assess independent transfer</w:t>
      </w:r>
    </w:p>
    <w:p>
      <w:r>
        <w:t>Selected case: Twelve rows include four copies of one source and eight others. Count unique units and name one coverage concern.</w:t>
      </w:r>
    </w:p>
    <w:p>
      <w:pPr>
        <w:pStyle w:val="Heading3"/>
      </w:pPr>
      <w:r>
        <w:t>Selected case answer</w:t>
      </w:r>
    </w:p>
    <w:p>
      <w:r>
        <w:t>Teacher explanation: Nine unique units. Check whether cases represent requested time, groups and tasks; row count alone does not answer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Research ethics and consent.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ai-7/19, ai-7/21, ai-7/24.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dataset and benchmark limitations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Ten benchmark rows include three copies of one source and seven other unique sources. Show the intermediate steps and give the conclusion with its scope.</w:t>
      </w:r>
    </w:p>
    <w:p>
      <w:r>
        <w:t>Reasoned practice answer: Teacher explanation: Eight unique source units, not ten independent sources. Identify duplicate weighting before analysis; do not silently discard results.</w:t>
      </w:r>
    </w:p>
    <w:p>
      <w:r>
        <w:t>Check every learner before discussion: Use the worked case for Dataset and benchmark limitations. Proposed explanation: “The worked result establishes every future case”. Decide whether this explanation is supported. Point to the step or supplied fact that decides; explain your repair if needed.</w:t>
      </w:r>
    </w:p>
    <w:p>
      <w:r>
        <w:t>Misconception repair: Benchmark success does not establish performance on a deployment population missing from its design.</w:t>
      </w:r>
    </w:p>
    <w:p>
      <w:r>
        <w:t>Support: read the exact case aloud, enlarge the labelled picture, supply input cards and model only the first deciding step. Accept a spoken explanation or drawing; retain the reasoning goal.</w:t>
      </w:r>
    </w:p>
    <w:p>
      <w:r>
        <w:t>Extension: Add four reserved outdoor cases, of which two are correct. Require a prediction and a reason before comparing. Expected result: Report the outdoor slice as 2/4=50%, separately from indoor results. Reason: The new records finally measure the missing condition, with a small denominator.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