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ai-7/20</w:t>
      </w:r>
    </w:p>
    <w:p>
      <w:pPr>
        <w:pStyle w:val="Title"/>
      </w:pPr>
      <w:r>
        <w:t>Privacy and data governance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privacy and data governance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Research ethics and consent</w:t>
      </w:r>
    </w:p>
    <w:p>
      <w:r>
        <w:t>Without opening the old lesson, explain one key idea from Research ethics and consent. Give an example and a mistake that the idea helps you avoid.</w:t>
      </w:r>
    </w:p>
    <w:p>
      <w:r>
        <w:t>Look for: Explain the mechanism and terminology of research ethics and consent</w:t>
      </w:r>
    </w:p>
    <w:p>
      <w:r>
        <w:t>Reference example, not the only acceptable wording: Teacher explanation: Research ethics considers purpose, burden, voluntary participation and consequences. Approval to teach does not automatically authorise a research data collection. Use fictional records for this course. For the supplied classroom policy, a real study needs responsible review, plain-language purpose, opt-in consent and withdrawal handling before collection. Do not implement real recruitment in this exercise.</w:t>
      </w:r>
    </w:p>
    <w:p>
      <w:pPr>
        <w:pStyle w:val="Heading3"/>
      </w:pPr>
      <w:r>
        <w:t>Sensitivity analysis</w:t>
      </w:r>
    </w:p>
    <w:p>
      <w:r>
        <w:t>Without opening the old lesson, explain one key idea from Sensitivity analysis. Give an example and a mistake that the idea helps you avoid.</w:t>
      </w:r>
    </w:p>
    <w:p>
      <w:r>
        <w:t>Look for: Explain the mechanism and terminology of sensitivity analysis</w:t>
      </w:r>
    </w:p>
    <w:p>
      <w:r>
        <w:t>Reference example, not the only acceptable wording: Teacher explanation: Sensitivity analysis checks whether a conclusion changes under plausible settings or analysis choices. It should not secretly select the most favourable result. Prespecify a range and preserve all results. Distinguish robustness across settings from proof beyond the tested range. Settings affecting data roles require special caution.</w:t>
      </w:r>
    </w:p>
    <w:p>
      <w:pPr>
        <w:pStyle w:val="Heading3"/>
      </w:pPr>
      <w:r>
        <w:t>Statistical tests and assumptions</w:t>
      </w:r>
    </w:p>
    <w:p>
      <w:r>
        <w:t>Without opening the old lesson, explain one key idea from Statistical tests and assumptions. Give an example and a mistake that the idea helps you avoid.</w:t>
      </w:r>
    </w:p>
    <w:p>
      <w:r>
        <w:t>Look for: Explain the mechanism and terminology of statistical tests and assumptions</w:t>
      </w:r>
    </w:p>
    <w:p>
      <w:r>
        <w:t>Reference example, not the only acceptable wording: Teacher explanation: A statistical test compares observed evidence with a specified null model. A p-value is not the probability that the null hypothesis is true. Toy paired sign-flip test assumes independent paired differences whose signs are exchangeable under a symmetric zero-effect null. Enumerate all2^n sign assignments, holding magnitudes fixed. Two-sided p is fraction with absolute mean at least the observed absolute mean; use inclusive ties.</w:t>
      </w:r>
    </w:p>
    <w:p>
      <w:r>
        <w:t>Two 45-minute sessions. Data governance specifies who may use which records, for what purpose and for how long. Coded data can still be reidentifiable.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privacy and data governance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privacy and data governance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Data governance specifies who may use which records, for what purpose and for how long. Coded data can still be reidentifiable.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fictional records separate participant-code table from analysis values; limit access and retention. Remove unnecessary fields and small-group details before a permitted aggregate export.</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Data governance</w:t>
            </w:r>
          </w:p>
        </w:tc>
        <w:tc>
          <w:tcPr>
            <w:tcW w:type="dxa" w:w="5112"/>
          </w:tcPr>
          <w:p>
            <w:r>
              <w:t>Rules for purpose, access, quality and lifetime</w:t>
            </w:r>
          </w:p>
        </w:tc>
      </w:tr>
      <w:tr>
        <w:tc>
          <w:tcPr>
            <w:tcW w:type="dxa" w:w="5112"/>
          </w:tcPr>
          <w:p>
            <w:r>
              <w:t>Pseudonym</w:t>
            </w:r>
          </w:p>
        </w:tc>
        <w:tc>
          <w:tcPr>
            <w:tcW w:type="dxa" w:w="5112"/>
          </w:tcPr>
          <w:p>
            <w:r>
              <w:t>A code replacing direct identification</w:t>
            </w:r>
          </w:p>
        </w:tc>
      </w:tr>
      <w:tr>
        <w:tc>
          <w:tcPr>
            <w:tcW w:type="dxa" w:w="5112"/>
          </w:tcPr>
          <w:p>
            <w:r>
              <w:t>Disclosure risk</w:t>
            </w:r>
          </w:p>
        </w:tc>
        <w:tc>
          <w:tcPr>
            <w:tcW w:type="dxa" w:w="5112"/>
          </w:tcPr>
          <w:p>
            <w:r>
              <w:t>The possibility of learning identifying or sensitive facts</w:t>
            </w:r>
          </w:p>
        </w:tc>
      </w:tr>
    </w:tbl>
    <w:p>
      <w:pPr>
        <w:pStyle w:val="Heading3"/>
      </w:pPr>
      <w:r>
        <w:t>Privacy and data governance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Export has coded ID, exact birth date, classroom and rare condition. Team calls it anonymous because names are removed.</w:t>
            </w:r>
          </w:p>
        </w:tc>
        <w:tc>
          <w:tcPr>
            <w:tcW w:type="dxa" w:w="3408"/>
          </w:tcPr>
          <w:p>
            <w:r>
              <w:t>For fictional records separate participant-code table from analysis values; limit access and retention. Remove unnecessary fields and small-group details before a permitted aggregate export.</w:t>
            </w:r>
          </w:p>
        </w:tc>
        <w:tc>
          <w:tcPr>
            <w:tcW w:type="dxa" w:w="3408"/>
          </w:tcPr>
          <w:p>
            <w:r>
              <w:t>The combination can remain identifying; coded is not necessarily anonymous. Minimise fields and assess disclosure under the declared policy.</w:t>
            </w:r>
          </w:p>
        </w:tc>
      </w:tr>
    </w:tbl>
    <w:p>
      <w:r>
        <w:t>The figure connects this chapter's worked input, declared procedure and result. Read the complete worked reasoning for qualifiers and intermediate steps; the abbreviated labels do not replace that reasoning.</w:t>
      </w:r>
    </w:p>
    <w:p>
      <w:r>
        <w:t>Guided: The combination can remain identifying; coded is not necessarily anonymous. Minimise fields and assess disclosure under the declared policy. Qualification: A size threshold or coding scheme alone does not guarantee privacy.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Export has coded ID, exact birth date, classroom and rare condition. Team calls it anonymous because names are removed.</w:t>
      </w:r>
    </w:p>
    <w:p>
      <w:r>
        <w:t>The combination can remain identifying; coded is not necessarily anonymous. Minimise fields and assess disclosure under the declared policy.</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Privacy and data governance</w:t>
      </w:r>
    </w:p>
    <w:p>
      <w:r>
        <w:t>Govern data by purpose and access. A fictional project needs task scores and random participant codes, but not names.</w:t>
      </w:r>
    </w:p>
    <w:p>
      <w:pPr>
        <w:pStyle w:val="Heading3"/>
      </w:pPr>
      <w:r>
        <w:t>The facts we will use</w:t>
      </w:r>
    </w:p>
    <w:p>
      <w:r>
        <w:t>The analysis table holds codes and scores. A separate restricted key links codes to names only for authorised withdrawal handling.</w:t>
      </w:r>
    </w:p>
    <w:p>
      <w:r>
        <w:drawing>
          <wp:inline xmlns:a="http://schemas.openxmlformats.org/drawingml/2006/main" xmlns:pic="http://schemas.openxmlformats.org/drawingml/2006/picture">
            <wp:extent cx="5486400" cy="5185229"/>
            <wp:docPr id="1" name="Picture 1" descr="Privacy and data governance. Separate tables: Keep analysis records apart from the identity key.. Limit access: Analysts receive scores and codes, not the name linkage.. Define retention: Apply the approved deletion schedule to both stores and listed copies."/>
            <wp:cNvGraphicFramePr>
              <a:graphicFrameLocks noChangeAspect="1"/>
            </wp:cNvGraphicFramePr>
            <a:graphic>
              <a:graphicData uri="http://schemas.openxmlformats.org/drawingml/2006/picture">
                <pic:pic>
                  <pic:nvPicPr>
                    <pic:cNvPr id="0" name="academy-visual-ai-7-20.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tables</w:t>
            </w:r>
          </w:p>
        </w:tc>
        <w:tc>
          <w:tcPr>
            <w:tcW w:type="dxa" w:w="5112"/>
          </w:tcPr>
          <w:p>
            <w:r>
              <w:t>Keep analysis records apart from the identity key.</w:t>
            </w:r>
          </w:p>
        </w:tc>
      </w:tr>
      <w:tr>
        <w:tc>
          <w:tcPr>
            <w:tcW w:type="dxa" w:w="5112"/>
          </w:tcPr>
          <w:p>
            <w:r>
              <w:t>2. Limit access</w:t>
            </w:r>
          </w:p>
        </w:tc>
        <w:tc>
          <w:tcPr>
            <w:tcW w:type="dxa" w:w="5112"/>
          </w:tcPr>
          <w:p>
            <w:r>
              <w:t>Analysts receive scores and codes, not the name linkage.</w:t>
            </w:r>
          </w:p>
        </w:tc>
      </w:tr>
      <w:tr>
        <w:tc>
          <w:tcPr>
            <w:tcW w:type="dxa" w:w="5112"/>
          </w:tcPr>
          <w:p>
            <w:r>
              <w:t>3. Define retention</w:t>
            </w:r>
          </w:p>
        </w:tc>
        <w:tc>
          <w:tcPr>
            <w:tcW w:type="dxa" w:w="5112"/>
          </w:tcPr>
          <w:p>
            <w:r>
              <w:t>Apply the approved deletion schedule to both stores and listed copies.</w:t>
            </w:r>
          </w:p>
        </w:tc>
      </w:tr>
    </w:tbl>
    <w:p>
      <w:r>
        <w:t>Match each pictured step to the supplied facts. This is a worked teaching case, not an independent assessment.</w:t>
      </w:r>
    </w:p>
    <w:p>
      <w:pPr>
        <w:pStyle w:val="Heading3"/>
      </w:pPr>
      <w:r>
        <w:t>Why this result follows</w:t>
      </w:r>
    </w:p>
    <w:p>
      <w:r>
        <w:t>Pseudonymous codes reduce routine exposure but are not the same as irreversible anonymity. Governance specifies purpose, readers, locations and retention.</w:t>
      </w:r>
    </w:p>
    <w:p>
      <w:pPr>
        <w:pStyle w:val="Heading3"/>
      </w:pPr>
      <w:r>
        <w:t>What this example does not establish</w:t>
      </w:r>
    </w:p>
    <w:p>
      <w:r>
        <w:t>Small groups or unusual records may still be identifiable without names; evaluate re-identification risk.</w:t>
      </w:r>
    </w:p>
    <w:p>
      <w:pPr>
        <w:pStyle w:val="Heading3"/>
      </w:pPr>
      <w:r>
        <w:t>Change one thing in the pictured case</w:t>
      </w:r>
    </w:p>
    <w:p>
      <w:r>
        <w:t>Change: Publish the identity key with the analysis table.</w:t>
      </w:r>
    </w:p>
    <w:p>
      <w:r>
        <w:t>Prediction: The records become directly linkable to names and breach this access design.</w:t>
      </w:r>
    </w:p>
    <w:p>
      <w:r>
        <w:t>Reason: Separation only helps while the linkage key remains restricted.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Export has coded ID, exact birth date, classroom and rare condition. Team calls it anonymous because names are removed. Show the intermediate steps and give the conclusion with its scope.</w:t>
      </w:r>
    </w:p>
    <w:p>
      <w:r>
        <w:t>Teacher check: Teacher explanation: The combination can remain identifying; coded is not necessarily anonymous. Minimise fields and assess disclosure under the declared policy.</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Privacy and data governance. Proposed explanation: “The worked result establishes every future case”. Decide whether this explanation is supported. Point to the step or supplied fact that decides; explain your repair if needed.</w:t>
      </w:r>
    </w:p>
    <w:p>
      <w:r>
        <w:t>Expected correction: A size threshold or coding scheme alone does not guarantee privacy.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Point to the analysis table and the restricted identity key. Why are the codes pseudonymous rather than guaranteed anonymous, and what changes if the key is published?</w:t>
      </w:r>
    </w:p>
    <w:p>
      <w:pPr>
        <w:pStyle w:val="Heading3"/>
      </w:pPr>
      <w:r>
        <w:t>Reasoned teacher answer</w:t>
      </w:r>
    </w:p>
    <w:p>
      <w:r>
        <w:t>Keep analysis records apart from the identity key. Analysts receive scores and codes, not the name linkage. Apply the approved deletion schedule to both stores and listed copies. Changed case: The records become directly linkable to names and breach this access design. Separation only helps while the linkage key remains restricted. The restricted linkage key makes these pseudonymous records, not guaranteed anonymous ones.</w:t>
      </w:r>
    </w:p>
    <w:p>
      <w:r>
        <w:t>Changed-case reasoning: The records become directly linkable to names and breach this access design. Separation only helps while the linkage key remains restricted.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size threshold or coding scheme alone does not guarantee privacy.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 combination can remain identifying; coded is not necessarily anonymous. Minimise fields and assess disclosure under the declared policy. Qualification: A size threshold or coding scheme alone does not guarantee privacy.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Data governance specifies who may use which records, for what purpose and for how long. Coded data can still be reidentifiable. For fictional records separate participant-code table from analysis values; limit access and retention. Remove unnecessary fields and small-group details before a permitted aggregate export.</w:t>
      </w:r>
    </w:p>
    <w:p>
      <w:pPr>
        <w:pStyle w:val="Heading3"/>
      </w:pPr>
      <w:r>
        <w:t>W2 Trace the worked case</w:t>
      </w:r>
    </w:p>
    <w:p>
      <w:r>
        <w:t>Export has coded ID, exact birth date, classroom and rare condition. Team calls it anonymous because names are removed. Show the intermediate steps and give the conclusion with its scope.</w:t>
      </w:r>
    </w:p>
    <w:p>
      <w:r>
        <w:t>Teacher explanation: The combination can remain identifying; coded is not necessarily anonymous. Minimise fields and assess disclosure under the declared policy.</w:t>
      </w:r>
    </w:p>
    <w:p>
      <w:pPr>
        <w:pStyle w:val="Heading3"/>
      </w:pPr>
      <w:r>
        <w:t>W3 Audit the limit</w:t>
      </w:r>
    </w:p>
    <w:p>
      <w:r>
        <w:t>A report omits this qualification: A size threshold or coding scheme alone does not guarantee privacy. Explain how omitting it could change a reader's interpretation, and write an accurate replacement.</w:t>
      </w:r>
    </w:p>
    <w:p>
      <w:r>
        <w:t>Teacher explanation: A size threshold or coding scheme alone does not guarantee privacy. State the observed result separately from the unverified or out-of-scope claim; preserve the original evidence rather than inventing a missing fact.</w:t>
      </w:r>
    </w:p>
    <w:p>
      <w:pPr>
        <w:pStyle w:val="Heading3"/>
      </w:pPr>
      <w:r>
        <w:t>W4 Apply a new case independently</w:t>
      </w:r>
    </w:p>
    <w:p>
      <w:r>
        <w:t>Aggregate contains one member in a subgroup; policy forbids subgroup reports smaller than5. Decide.</w:t>
      </w:r>
    </w:p>
    <w:p>
      <w:r>
        <w:t>Teacher explanation: Do not release that subgroup table under the fictional policy. Combine only where meaningful and permitted, or omit with explanation.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size threshold or coding scheme alone does not guarantee privacy. The new case should test this particular mechanism rather than merely restate the original result.</w:t>
      </w:r>
    </w:p>
    <w:p>
      <w:pPr>
        <w:pStyle w:val="Heading3"/>
      </w:pPr>
      <w:r>
        <w:t>Independent assessment and fresh retry</w:t>
      </w:r>
    </w:p>
    <w:p>
      <w:r>
        <w:t>W4: Do not release that subgroup table under the fictional policy. Combine only where meaningful and permitted, or omit with explanation. Require intermediate reasoning and the stated scope. Fresh retry: Subgroups sizes4 and6 under minimum5. Expected reasoning: Size4 fails the release policy; size6 satisfies that size rule but still needs other disclosure checks. If students need support, record it and reassess with another new case rather than awarding independence to a copied answer.</w:t>
      </w:r>
    </w:p>
    <w:p>
      <w:pPr>
        <w:pStyle w:val="Heading3"/>
      </w:pPr>
      <w:r>
        <w:t>Assess independent transfer</w:t>
      </w:r>
    </w:p>
    <w:p>
      <w:r>
        <w:t>Selected case: Aggregate contains one member in a subgroup; policy forbids subgroup reports smaller than5. Decide.</w:t>
      </w:r>
    </w:p>
    <w:p>
      <w:pPr>
        <w:pStyle w:val="Heading3"/>
      </w:pPr>
      <w:r>
        <w:t>Selected case answer</w:t>
      </w:r>
    </w:p>
    <w:p>
      <w:r>
        <w:t>Teacher explanation: Do not release that subgroup table under the fictional policy. Combine only where meaningful and permitted, or omit with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privacy and data governance evidence sheet to Reproducible AI Research Study. Show how you can explain the mechanism and terminology of privacy and data governance.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Predefining an analysis plan.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ai-7/21, ai-7/23, ai-7/26.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privacy and data governance</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Export has coded ID, exact birth date, classroom and rare condition. Team calls it anonymous because names are removed. Show the intermediate steps and give the conclusion with its scope.</w:t>
      </w:r>
    </w:p>
    <w:p>
      <w:r>
        <w:t>Reasoned practice answer: Teacher explanation: The combination can remain identifying; coded is not necessarily anonymous. Minimise fields and assess disclosure under the declared policy.</w:t>
      </w:r>
    </w:p>
    <w:p>
      <w:r>
        <w:t>Check every learner before discussion: Use the worked case for Privacy and data governance. Proposed explanation: “The worked result establishes every future case”. Decide whether this explanation is supported. Point to the step or supplied fact that decides; explain your repair if needed.</w:t>
      </w:r>
    </w:p>
    <w:p>
      <w:r>
        <w:t>Misconception repair: A size threshold or coding scheme alone does not guarantee privacy.</w:t>
      </w:r>
    </w:p>
    <w:p>
      <w:r>
        <w:t>Support: read the exact case aloud, enlarge the labelled picture, supply input cards and model only the first deciding step. Accept a spoken explanation or drawing; retain the reasoning goal.</w:t>
      </w:r>
    </w:p>
    <w:p>
      <w:r>
        <w:t>Extension: Publish the identity key with the analysis table. Require a prediction and a reason before comparing. Expected result: The records become directly linkable to names and breach this access design. Reason: Separation only helps while the linkage key remains restricted.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Evaluate and revise. Compare with your starting method, explain errors and record a justified revision.</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