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ai-7/27</w:t>
      </w:r>
    </w:p>
    <w:p>
      <w:pPr>
        <w:pStyle w:val="Title"/>
      </w:pPr>
      <w:r>
        <w:t>Robustness across conditions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robustness across conditions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Inspecting failures and anomalies</w:t>
      </w:r>
    </w:p>
    <w:p>
      <w:r>
        <w:t>Without opening the old lesson, explain one key idea from Inspecting failures and anomalies. Give an example and a mistake that the idea helps you avoid.</w:t>
      </w:r>
    </w:p>
    <w:p>
      <w:r>
        <w:t>Look for: Explain the mechanism and terminology of inspecting failures and anomalies</w:t>
      </w:r>
    </w:p>
    <w:p>
      <w:r>
        <w:t>Reference example, not the only acceptable wording: Teacher explanation: Failure inspection generates explanations to test. An unusual result is not automatically a bad data point. Compare raw outputs, input validity and procedure traces. Correct demonstrable measurement errors with provenance; retain valid unusual observations. Label post-result investigations exploratory.</w:t>
      </w:r>
    </w:p>
    <w:p>
      <w:pPr>
        <w:pStyle w:val="Heading3"/>
      </w:pPr>
      <w:r>
        <w:t>Reproducible environment and records</w:t>
      </w:r>
    </w:p>
    <w:p>
      <w:r>
        <w:t>Without opening the old lesson, explain one key idea from Reproducible environment and records. Give an example and a mistake that the idea helps you avoid.</w:t>
      </w:r>
    </w:p>
    <w:p>
      <w:r>
        <w:t>Look for: Explain the mechanism and terminology of reproducible environment and records</w:t>
      </w:r>
    </w:p>
    <w:p>
      <w:r>
        <w:t>Reference example, not the only acceptable wording: Teacher explanation: A reproducible environment record links code, data, configuration and runtime dependencies to results. A seed alone is insufficient. Record exact data IDs/splits, code version, dependency versions, parameters, randomness policy and raw outputs. Verify hashes for integrity without treating them as correctness proofs.</w:t>
      </w:r>
    </w:p>
    <w:p>
      <w:pPr>
        <w:pStyle w:val="Heading3"/>
      </w:pPr>
      <w:r>
        <w:t>Predefining an analysis plan</w:t>
      </w:r>
    </w:p>
    <w:p>
      <w:r>
        <w:t>Without opening the old lesson, explain one key idea from Predefining an analysis plan. Give an example and a mistake that the idea helps you avoid.</w:t>
      </w:r>
    </w:p>
    <w:p>
      <w:r>
        <w:t>Look for: Explain the mechanism and terminology of predefining an analysis plan</w:t>
      </w:r>
    </w:p>
    <w:p>
      <w:r>
        <w:t>Reference example, not the only acceptable wording: Teacher explanation: An analysis plan records outcomes, units, exclusions, comparisons and uncertainty methods before primary results are inspected. Deviations remain visible. Declare primary metric, eligible cases, missing handling, baseline, test assumptions and reporting. Timestamp/version the plan; label later choices exploratory.</w:t>
      </w:r>
    </w:p>
    <w:p>
      <w:r>
        <w:t>Two 45-minute sessions. Robustness checks examine a frozen procedure under declared varied conditions. Performance differences do not by themselves identify cause.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robustness across conditions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robustness across conditions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Robustness checks examine a frozen procedure under declared varied conditions. Performance differences do not by themselves identify cause.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Keep baseline, metric and eligibility aligned across conditions. Report condition counts and failures separately; new conditions may extend evidence but cannot guarantee all conditions.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Robustness check</w:t>
            </w:r>
          </w:p>
        </w:tc>
        <w:tc>
          <w:tcPr>
            <w:tcW w:type="dxa" w:w="5112"/>
          </w:tcPr>
          <w:p>
            <w:r>
              <w:t>Evaluation under declared varied conditions</w:t>
            </w:r>
          </w:p>
        </w:tc>
      </w:tr>
      <w:tr>
        <w:tc>
          <w:tcPr>
            <w:tcW w:type="dxa" w:w="5112"/>
          </w:tcPr>
          <w:p>
            <w:r>
              <w:t>Condition-specific result</w:t>
            </w:r>
          </w:p>
        </w:tc>
        <w:tc>
          <w:tcPr>
            <w:tcW w:type="dxa" w:w="5112"/>
          </w:tcPr>
          <w:p>
            <w:r>
              <w:t>A score within one stated setting</w:t>
            </w:r>
          </w:p>
        </w:tc>
      </w:tr>
      <w:tr>
        <w:tc>
          <w:tcPr>
            <w:tcW w:type="dxa" w:w="5112"/>
          </w:tcPr>
          <w:p>
            <w:r>
              <w:t>Aggregate masking</w:t>
            </w:r>
          </w:p>
        </w:tc>
        <w:tc>
          <w:tcPr>
            <w:tcW w:type="dxa" w:w="5112"/>
          </w:tcPr>
          <w:p>
            <w:r>
              <w:t>A summary hiding differing condition outcomes</w:t>
            </w:r>
          </w:p>
        </w:tc>
      </w:tr>
    </w:tbl>
    <w:p>
      <w:pPr>
        <w:pStyle w:val="Heading3"/>
      </w:pPr>
      <w:r>
        <w:t>Robustness across conditions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 passes9/10 on current sources and5/10 on outdated sources.</w:t>
            </w:r>
          </w:p>
        </w:tc>
        <w:tc>
          <w:tcPr>
            <w:tcW w:type="dxa" w:w="3408"/>
          </w:tcPr>
          <w:p>
            <w:r>
              <w:t>Keep baseline, metric and eligibility aligned across conditions. Report condition counts and failures separately; new conditions may extend evidence but cannot guarantee all conditions.</w:t>
            </w:r>
          </w:p>
        </w:tc>
        <w:tc>
          <w:tcPr>
            <w:tcW w:type="dxa" w:w="3408"/>
          </w:tcPr>
          <w:p>
            <w:r>
              <w:t>90% versus50%; gap40 percentage points. Freshness condition is associated with lower quality here; inspect mechanisms before general causal claims.</w:t>
            </w:r>
          </w:p>
        </w:tc>
      </w:tr>
    </w:tbl>
    <w:p>
      <w:r>
        <w:t>The figure connects this chapter's worked input, declared procedure and result. Read the complete worked reasoning for qualifiers and intermediate steps; the abbreviated labels do not replace that reasoning.</w:t>
      </w:r>
    </w:p>
    <w:p>
      <w:r>
        <w:t>Guided: 90% versus50%; gap40 percentage points. Freshness condition is associated with lower quality here; inspect mechanisms before general causal claims. Qualification: Robustness is bounded by the tested variations and independent evidence policy.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Method passes9/10 on current sources and5/10 on outdated sources.</w:t>
      </w:r>
    </w:p>
    <w:p>
      <w:r>
        <w:t>90% versus50%; gap40 percentage points. Freshness condition is associated with lower quality here; inspect mechanisms before general causal claims.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Robustness across conditions</w:t>
      </w:r>
    </w:p>
    <w:p>
      <w:r>
        <w:t>Check robustness across conditions. A fixed classifier is tested separately on indoor and shaded outdoor cases.</w:t>
      </w:r>
    </w:p>
    <w:p>
      <w:pPr>
        <w:pStyle w:val="Heading3"/>
      </w:pPr>
      <w:r>
        <w:t>The facts we will use</w:t>
      </w:r>
    </w:p>
    <w:p>
      <w:r>
        <w:t>Indoor 7/8 correct; outdoor 3/8 correct. The rubric and frozen model are unchanged.</w:t>
      </w:r>
    </w:p>
    <w:p>
      <w:r>
        <w:drawing>
          <wp:inline xmlns:a="http://schemas.openxmlformats.org/drawingml/2006/main" xmlns:pic="http://schemas.openxmlformats.org/drawingml/2006/picture">
            <wp:extent cx="5486400" cy="2641600"/>
            <wp:docPr id="1" name="Picture 1" descr="Fixed model across conditions"/>
            <wp:cNvGraphicFramePr>
              <a:graphicFrameLocks noChangeAspect="1"/>
            </wp:cNvGraphicFramePr>
            <a:graphic>
              <a:graphicData uri="http://schemas.openxmlformats.org/drawingml/2006/picture">
                <pic:pic>
                  <pic:nvPicPr>
                    <pic:cNvPr id="0" name="academy-detail-ai-7-27.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obustness across conditions. Name both slices: Each condition has eight labelled cases.. Compute rates: Indoor is 87.5%; outdoor is 37.5%.. Bound robustness: The large observed gap motivates investigation rather than claiming condition independence."/>
            <wp:cNvGraphicFramePr>
              <a:graphicFrameLocks noChangeAspect="1"/>
            </wp:cNvGraphicFramePr>
            <a:graphic>
              <a:graphicData uri="http://schemas.openxmlformats.org/drawingml/2006/picture">
                <pic:pic>
                  <pic:nvPicPr>
                    <pic:cNvPr id="0" name="academy-visual-ai-7-2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both slices</w:t>
            </w:r>
          </w:p>
        </w:tc>
        <w:tc>
          <w:tcPr>
            <w:tcW w:type="dxa" w:w="5112"/>
          </w:tcPr>
          <w:p>
            <w:r>
              <w:t>Each condition has eight labelled cases.</w:t>
            </w:r>
          </w:p>
        </w:tc>
      </w:tr>
      <w:tr>
        <w:tc>
          <w:tcPr>
            <w:tcW w:type="dxa" w:w="5112"/>
          </w:tcPr>
          <w:p>
            <w:r>
              <w:t>2. Compute rates</w:t>
            </w:r>
          </w:p>
        </w:tc>
        <w:tc>
          <w:tcPr>
            <w:tcW w:type="dxa" w:w="5112"/>
          </w:tcPr>
          <w:p>
            <w:r>
              <w:t>Indoor is 87.5%; outdoor is 37.5%.</w:t>
            </w:r>
          </w:p>
        </w:tc>
      </w:tr>
      <w:tr>
        <w:tc>
          <w:tcPr>
            <w:tcW w:type="dxa" w:w="5112"/>
          </w:tcPr>
          <w:p>
            <w:r>
              <w:t>3. Bound robustness</w:t>
            </w:r>
          </w:p>
        </w:tc>
        <w:tc>
          <w:tcPr>
            <w:tcW w:type="dxa" w:w="5112"/>
          </w:tcPr>
          <w:p>
            <w:r>
              <w:t>The large observed gap motivates investigation rather than claiming condition independence.</w:t>
            </w:r>
          </w:p>
        </w:tc>
      </w:tr>
    </w:tbl>
    <w:p>
      <w:r>
        <w:t>Match each pictured step to the supplied facts. This is a worked teaching case, not an independent assessment.</w:t>
      </w:r>
    </w:p>
    <w:p>
      <w:pPr>
        <w:pStyle w:val="Heading3"/>
      </w:pPr>
      <w:r>
        <w:t>Why this result follows</w:t>
      </w:r>
    </w:p>
    <w:p>
      <w:r>
        <w:t>Robustness asks whether behaviour survives relevant changes in conditions. A total score can hide a weak slice; keep the scenario and denominator visible.</w:t>
      </w:r>
    </w:p>
    <w:p>
      <w:pPr>
        <w:pStyle w:val="Heading3"/>
      </w:pPr>
      <w:r>
        <w:t>What this example does not establish</w:t>
      </w:r>
    </w:p>
    <w:p>
      <w:r>
        <w:t>Eight cases per slice do not establish stable population rates or the reason for the difference.</w:t>
      </w:r>
    </w:p>
    <w:p>
      <w:pPr>
        <w:pStyle w:val="Heading3"/>
      </w:pPr>
      <w:r>
        <w:t>Change one thing in the pictured case</w:t>
      </w:r>
    </w:p>
    <w:p>
      <w:r>
        <w:t>Change: Report only the combined 10/16=62.5%.</w:t>
      </w:r>
    </w:p>
    <w:p>
      <w:r>
        <w:t>Prediction: The arithmetic is correct, but the condition gap becomes hidden.</w:t>
      </w:r>
    </w:p>
    <w:p>
      <w:r>
        <w:t>Reason: Combining records discards the slice distinction relevant to the deployment goal.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Method passes9/10 on current sources and5/10 on outdated sources. Show the intermediate steps and give the conclusion with its scope.</w:t>
      </w:r>
    </w:p>
    <w:p>
      <w:r>
        <w:t>Teacher check: Teacher explanation: 90% versus50%; gap40 percentage points. Freshness condition is associated with lower quality here; inspect mechanisms before general causal claims.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Robustness across conditions. Proposed explanation: “The worked result establishes every future case”. Decide whether this explanation is supported. Point to the step or supplied fact that decides; explain your repair if needed.</w:t>
      </w:r>
    </w:p>
    <w:p>
      <w:r>
        <w:t>Expected correction: Robustness is bounded by the tested variations and independent evidence policy.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indoor, outdoor and combined rates. Which relevant weakness disappears from view when only the combined rate is reported?</w:t>
      </w:r>
    </w:p>
    <w:p>
      <w:pPr>
        <w:pStyle w:val="Heading3"/>
      </w:pPr>
      <w:r>
        <w:t>Reasoned teacher answer</w:t>
      </w:r>
    </w:p>
    <w:p>
      <w:r>
        <w:t>Each condition has eight labelled cases. Indoor is 87.5%; outdoor is 37.5%. The large observed gap motivates investigation rather than claiming condition independence. Changed case: The arithmetic is correct, but the condition gap becomes hidden. Combining records discards the slice distinction relevant to the deployment goal.</w:t>
      </w:r>
    </w:p>
    <w:p>
      <w:r>
        <w:t>Changed-case reasoning: The arithmetic is correct, but the condition gap becomes hidden. Combining records discards the slice distinction relevant to the deployment goal.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Robustness is bounded by the tested variations and independent evidence policy.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90% versus50%; gap40 percentage points. Freshness condition is associated with lower quality here; inspect mechanisms before general causal claims. Qualification: Robustness is bounded by the tested variations and independent evidence policy.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Robustness checks examine a frozen procedure under declared varied conditions. Performance differences do not by themselves identify cause. Keep baseline, metric and eligibility aligned across conditions. Report condition counts and failures separately; new conditions may extend evidence but cannot guarantee all conditions.</w:t>
      </w:r>
    </w:p>
    <w:p>
      <w:pPr>
        <w:pStyle w:val="Heading3"/>
      </w:pPr>
      <w:r>
        <w:t>W2 Trace the worked case</w:t>
      </w:r>
    </w:p>
    <w:p>
      <w:r>
        <w:t>Method passes9/10 on current sources and5/10 on outdated sources. Show the intermediate steps and give the conclusion with its scope.</w:t>
      </w:r>
    </w:p>
    <w:p>
      <w:r>
        <w:t>Teacher explanation: 90% versus50%; gap40 percentage points. Freshness condition is associated with lower quality here; inspect mechanisms before general causal claims.</w:t>
      </w:r>
    </w:p>
    <w:p>
      <w:pPr>
        <w:pStyle w:val="Heading3"/>
      </w:pPr>
      <w:r>
        <w:t>W3 Audit the limit</w:t>
      </w:r>
    </w:p>
    <w:p>
      <w:r>
        <w:t>A report omits this qualification: Robustness is bounded by the tested variations and independent evidence policy. Explain how omitting it could change a reader's interpretation, and write an accurate replacement.</w:t>
      </w:r>
    </w:p>
    <w:p>
      <w:r>
        <w:t>Teacher explanation: Robustness is bounded by the tested variations and independent evidence policy. State the observed result separately from the unverified or out-of-scope claim; preserve the original evidence rather than inventing a missing fact.</w:t>
      </w:r>
    </w:p>
    <w:p>
      <w:pPr>
        <w:pStyle w:val="Heading3"/>
      </w:pPr>
      <w:r>
        <w:t>W4 Apply a new case independently</w:t>
      </w:r>
    </w:p>
    <w:p>
      <w:r>
        <w:t>Baseline/candidate on conditionA:6/8, 7/8; conditionB:5/8, 4/8. Compare paired rates.</w:t>
      </w:r>
    </w:p>
    <w:p>
      <w:r>
        <w:t>Teacher explanation: Candidate gains12.5 points inA but loses12.5 inB; overall11/16 for both. Aggregate equality hides condition differences.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Robustness is bounded by the tested variations and independent evidence policy. The new case should test this particular mechanism rather than merely restate the original result.</w:t>
      </w:r>
    </w:p>
    <w:p>
      <w:pPr>
        <w:pStyle w:val="Heading3"/>
      </w:pPr>
      <w:r>
        <w:t>Independent assessment and fresh retry</w:t>
      </w:r>
    </w:p>
    <w:p>
      <w:r>
        <w:t>W4: Candidate gains12.5 points inA but loses12.5 inB; overall11/16 for both. Aggregate equality hides condition differences. Require intermediate reasoning and the stated scope. Fresh retry: A baseline4/6, candidate5/6; B baseline5/6, candidate4/6. Expected reasoning: Gains/losses16.667 points; overall9/12 each. Preserve condition-specific findings. If students need support, record it and reassess with another new case rather than awarding independence to a copied answer.</w:t>
      </w:r>
    </w:p>
    <w:p>
      <w:pPr>
        <w:pStyle w:val="Heading3"/>
      </w:pPr>
      <w:r>
        <w:t>Assess independent transfer</w:t>
      </w:r>
    </w:p>
    <w:p>
      <w:r>
        <w:t>Selected case: Baseline/candidate on conditionA:6/8, 7/8; conditionB:5/8, 4/8. Compare paired rates.</w:t>
      </w:r>
    </w:p>
    <w:p>
      <w:pPr>
        <w:pStyle w:val="Heading3"/>
      </w:pPr>
      <w:r>
        <w:t>Selected case answer</w:t>
      </w:r>
    </w:p>
    <w:p>
      <w:r>
        <w:t>Teacher explanation: Candidate gains12.5 points inA but loses12.5 inB; overall11/16 for both. Aggregate equality hides condition differences.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robustness across conditions evidence sheet to Reproducible AI Research Study. Show how you can explain the mechanism and terminology of robustness across conditions.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Negative results and claim revision.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ai-7/28, ai-7/30, ai-7/33.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robustness across conditions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Method passes9/10 on current sources and5/10 on outdated sources. Show the intermediate steps and give the conclusion with its scope.</w:t>
      </w:r>
    </w:p>
    <w:p>
      <w:r>
        <w:t>Reasoned practice answer: Teacher explanation: 90% versus50%; gap40 percentage points. Freshness condition is associated with lower quality here; inspect mechanisms before general causal claims.</w:t>
      </w:r>
    </w:p>
    <w:p>
      <w:r>
        <w:t>Check every learner before discussion: Use the worked case for Robustness across conditions. Proposed explanation: “The worked result establishes every future case”. Decide whether this explanation is supported. Point to the step or supplied fact that decides; explain your repair if needed.</w:t>
      </w:r>
    </w:p>
    <w:p>
      <w:r>
        <w:t>Misconception repair: Robustness is bounded by the tested variations and independent evidence policy.</w:t>
      </w:r>
    </w:p>
    <w:p>
      <w:r>
        <w:t>Support: read the exact case aloud, enlarge the labelled picture, supply input cards and model only the first deciding step. Accept a spoken explanation or drawing; retain the reasoning goal.</w:t>
      </w:r>
    </w:p>
    <w:p>
      <w:r>
        <w:t>Extension: Report only the combined 10/16=62.5%. Require a prediction and a reason before comparing. Expected result: The arithmetic is correct, but the condition gap becomes hidden. Reason: Combining records discards the slice distinction relevant to the deployment goal.</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