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ai-2/8</w:t>
      </w:r>
    </w:p>
    <w:p>
      <w:pPr>
        <w:pStyle w:val="Title"/>
      </w:pPr>
      <w:r>
        <w:t>Operational Labels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Stopping</w:t>
      </w:r>
    </w:p>
    <w:p>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Decompose a Goal</w:t>
      </w:r>
    </w:p>
    <w:p>
      <w:r>
        <w:t>Without opening the old lesson, explain one key idea from Decompose a Goal.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Replace a vague instruction for Categories and operational labels.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Two labellers use book-length rules: fewer than 120 pages and at most 120 pages. Label books with 110,120,121 pages. The agreed policy is at most 120. Repair the disagreement.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labelers use 'short' to mean pages&lt;100 and pages&lt;=100. They disagree only on 100-page books. Write a shared definition and explain how to repair the existing labels.</w:t>
      </w:r>
    </w:p>
    <w:p>
      <w:pPr>
        <w:pStyle w:val="Heading1"/>
      </w:pPr>
      <w:r>
        <w:t>06. Solve the given case</w:t>
      </w:r>
    </w:p>
    <w:p>
      <w:r>
        <w:t>Short means fewer than 100 pages. Two annotators disagree about a 100-page book.</w:t>
      </w:r>
    </w:p>
    <w:p>
      <w:r>
        <w:t>Resolve the label.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a clear label rule: short means 80 pages or fewer. Two judges label an 80-page book differently. What shared instruction resolves this disagreement?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Define ‘good match’ before training or evaluating the recommender.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labelers use 'short' to mean pages&lt;100 and pages&lt;=100. They disagree only on 100-page books. Write a shared definition and explain how to repair the existing labels.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Operational Labels</w:t>
      </w:r>
    </w:p>
    <w:p>
      <w:r>
        <w:t>Two fictional catalogue reviewers label books compact or extended.</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 name="Picture 1"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0"/>
                    <a:stretch>
                      <a:fillRect/>
                    </a:stretch>
                  </pic:blipFill>
                  <pic:spPr>
                    <a:xfrm>
                      <a:off x="0" y="0"/>
                      <a:ext cx="5346057" cy="5943599"/>
                    </a:xfrm>
                    <a:prstGeom prst="rect"/>
                  </pic:spPr>
                </pic:pic>
              </a:graphicData>
            </a:graphic>
          </wp:inline>
        </w:drawing>
      </w:r>
    </w:p>
    <w:p>
      <w:r>
        <w:t>Why can we not resolve the disagreement merely by taking a majority of reviewers?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Give Transparent Book Recommender metadata labels explicit definitions and boundary examples for reviewers.</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Give Transparent Book Recommender metadata labels explicit definitions and boundary examples for reviewers.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Two fictional catalogue reviewers label books compact or extended.</w:t>
      </w:r>
    </w:p>
    <w:p>
      <w:pPr>
        <w:pStyle w:val="Heading3"/>
      </w:pPr>
      <w:r>
        <w:t>Practice 1: explain the deciding evidence</w:t>
      </w:r>
    </w:p>
    <w:p>
      <w:r>
        <w:t>Which labelled step matches this detail? A must use &lt;=80; retain the disagreement and changed policy implementation.</w:t>
      </w:r>
    </w:p>
    <w:p>
      <w:r>
        <w:t>1. Repair boundary</w:t>
      </w:r>
    </w:p>
    <w:p>
      <w:r>
        <w:t>2. Reviewer B</w:t>
      </w:r>
    </w:p>
    <w:p>
      <w:r>
        <w:t>3. Reviewer A</w:t>
      </w:r>
    </w:p>
    <w:p>
      <w:r>
        <w:t>4. Shared definition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boundary A must use &lt;=80; retain the disagreement and changed policy implementation. 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w:t>
      </w:r>
    </w:p>
    <w:p>
      <w:pPr>
        <w:pStyle w:val="Heading3"/>
      </w:pPr>
      <w:r>
        <w:t>Practice 2: explain the deciding evidence</w:t>
      </w:r>
    </w:p>
    <w:p>
      <w:r>
        <w:t>Changed-case practice: Change the documented policy to fewer than 80 instead. Which conclusion is supported by the supplied facts?</w:t>
      </w:r>
    </w:p>
    <w:p>
      <w:r>
        <w:t>1. A’s original labels now match; B must change its equality behavior.</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A’s original labels now match; B must change its equality behavior. The authoritative definition changed, not the physical books.</w:t>
      </w:r>
    </w:p>
    <w:p>
      <w:pPr>
        <w:pStyle w:val="Heading3"/>
      </w:pPr>
      <w:r>
        <w:t>Repair a missing building block</w:t>
      </w:r>
    </w:p>
    <w:p>
      <w:r>
        <w:t>Review Rows Columns and Data Types (ai-2/7). Goal: Specify a table schema. Short practice: Which two rows originally fail, and do they fail for the same reason?. Return to this week and explain what you changed.</w:t>
      </w:r>
    </w:p>
    <w:p>
      <w:r>
        <w:t>Review Loops and Stopping (ai-2/5). Goal: Trace variable values before and after each loop iteration. Short practice: Why is report 0 correct for the original loop, and why is equality-only stopping risky here?. Return to this week and explain what you changed.</w:t>
      </w:r>
    </w:p>
    <w:p>
      <w:r>
        <w:t>Review Decompose a Goal (ai-2/2). Goal: Distinguish a function definition from a function call. Short practice: What happens visibly if the caller stores needed but omits print(needed)?.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