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ai-2/19</w:t>
      </w:r>
    </w:p>
    <w:p>
      <w:pPr>
        <w:pStyle w:val="Title"/>
      </w:pPr>
      <w:r>
        <w:t>Sampling and Representation</w:t>
      </w:r>
    </w:p>
    <w:p>
      <w:r>
        <w:t>Project: Transparent Book Recommender</w:t>
      </w:r>
    </w:p>
    <w:p>
      <w:pPr>
        <w:pStyle w:val="Heading1"/>
      </w:pPr>
      <w:r>
        <w:t>01. Recall and choose your starting point</w:t>
      </w:r>
    </w:p>
    <w:p>
      <w:r>
        <w:t>Try the recall before opening notes. Then use a different colour or a labelled second line to correct your explanation.</w:t>
      </w:r>
    </w:p>
    <w:p>
      <w:pPr>
        <w:pStyle w:val="Heading3"/>
      </w:pPr>
      <w:r>
        <w:t>Missing Data</w:t>
      </w:r>
    </w:p>
    <w:p>
      <w:r>
        <w:t>Without opening the old lesson, explain one key idea from Missing Data.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Overfitting Intuition</w:t>
      </w:r>
    </w:p>
    <w:p>
      <w:r>
        <w:t>Without opening the old lesson, explain one key idea from Overfitting Intuition.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Types of Classification Error</w:t>
      </w:r>
    </w:p>
    <w:p>
      <w:r>
        <w:t>Without opening the old lesson, explain one key idea from Types of Classification Error.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Read the sample result for Questions populations and samples.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Questions populations and samples. Proposed explanation: “A successful run proves the conclusion”.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Plan independently</w:t>
      </w:r>
    </w:p>
    <w:p>
      <w:r>
        <w:t>Design an anonymous sample plan to ask all Grade 7 about three activity choices. State population, sampling frame, selection method, question, and how you will report nonresponse.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survey about school reading preferences includes only volunteers from a mystery club. Explain why 100 responses may still fail to represent the school. Propose a better sampling plan using fictional data.</w:t>
      </w:r>
    </w:p>
    <w:p>
      <w:pPr>
        <w:pStyle w:val="Heading1"/>
      </w:pPr>
      <w:r>
        <w:t>06. Solve the given case</w:t>
      </w:r>
    </w:p>
    <w:p>
      <w:r>
        <w:t>Only adventure-club members answer a school reading survey.</w:t>
      </w:r>
    </w:p>
    <w:p>
      <w:r>
        <w:t>Explain the sampling problem.</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You survey only the chess club about all students' favourite books. Identify the sampling limitation and one improvement.</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19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Test reader profiles across reading levels, genres, ages, formats, and accessibility needs.</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survey about school reading preferences includes only volunteers from a mystery club. Explain why 100 responses may still fail to represent the school. Propose a better sampling plan using fictional data.</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Define the population</w:t>
      </w:r>
    </w:p>
    <w:p>
      <w:r>
        <w:t>The question is whether all Grade 7 students prefer a longer lunch. Name the population and one unsuitable sample.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Read the sample result</w:t>
      </w:r>
    </w:p>
    <w:p>
      <w:r>
        <w:t>Seven of 12 fictional respondents prefer longer lunch. State the result without generalizing.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Repair a claim</w:t>
      </w:r>
    </w:p>
    <w:p>
      <w:r>
        <w:t>A report says all Grade 7 prefers coding after surveying only the coding club. Rewrite 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Plan independently</w:t>
      </w:r>
    </w:p>
    <w:p>
      <w:r>
        <w:t>Design an anonymous sample plan to ask all Grade 7 about three activity choices. State population, sampling frame, selection method, question, and how you will report nonresponse.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Separate invitation and response</w:t>
      </w:r>
    </w:p>
    <w:p>
      <w:r>
        <w:t>Twenty students are selected fairly but only 8 answer. Does fair selection remove the need to report nonresponse?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Graphs and honest scales — W1 Read the scale</w:t>
      </w:r>
    </w:p>
    <w:p>
      <w:r>
        <w:t>A bar is 6 squares long with 2 votes per square. How many votes is that?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Graphs and honest scales — W2 Compare fairly</w:t>
      </w:r>
    </w:p>
    <w:p>
      <w:r>
        <w:t>Counts are 12 and 15. State the difference and ratio using the true values.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Graphs and honest scales — W3 Repair a misleading graph</w:t>
      </w:r>
    </w:p>
    <w:p>
      <w:r>
        <w:t>Bars for 12 and 15 start at 10. Explain the misleading lengths and repair.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Graphs and honest scales — W4 Draw independently</w:t>
      </w:r>
    </w:p>
    <w:p>
      <w:r>
        <w:t>Draw a bar chart for Music 6, Art 9, Coding 3. Include title, category labels, vote units, zero baseline and equal scale. State two supported comparisons.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Graphs and honest scales — W5 Limit the claim</w:t>
      </w:r>
    </w:p>
    <w:p>
      <w:r>
        <w:t>Art has the most votes among 18 responses. Does that establish Art is best for learning?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23. Pictorial case practice: Sampling and Representation</w:t>
      </w:r>
    </w:p>
    <w:p>
      <w:r>
        <w:t>A fictional Grade 7 class wants to understand book-format preferences across its whole grade.</w:t>
      </w:r>
    </w:p>
    <w:p>
      <w:r>
        <w:t>Population: all 60 Grade 7 learners. Frame: current school-approved list of those 60, used only by the teacher.</w:t>
      </w:r>
    </w:p>
    <w:p>
      <w:r>
        <w:t>Teacher randomly invites 15; 12 answer the same neutral comic/prose/either question. No names enter the analysis table.</w:t>
      </w:r>
    </w:p>
    <w:p>
      <w:r>
        <w:drawing>
          <wp:inline xmlns:a="http://schemas.openxmlformats.org/drawingml/2006/main" xmlns:pic="http://schemas.openxmlformats.org/drawingml/2006/picture">
            <wp:extent cx="5243129" cy="5943600"/>
            <wp:docPr id="1" name="Picture 1" descr="Sampling and Representation. Define target: The question concerns all Grade 7, not only library-club members.. Select invitations: Teacher uses the complete approved list and documented random selection.. Record responses: 12 replies from 15 invited; three nonresponses remain visible.. Report scope: Invitation response rate 12/15=80%; preference counts describe respondents."/>
            <wp:cNvGraphicFramePr>
              <a:graphicFrameLocks noChangeAspect="1"/>
            </wp:cNvGraphicFramePr>
            <a:graphic>
              <a:graphicData uri="http://schemas.openxmlformats.org/drawingml/2006/picture">
                <pic:pic>
                  <pic:nvPicPr>
                    <pic:cNvPr id="0" name="academy-visual-ai-2-19.png"/>
                    <pic:cNvPicPr/>
                  </pic:nvPicPr>
                  <pic:blipFill>
                    <a:blip r:embed="rId9"/>
                    <a:stretch>
                      <a:fillRect/>
                    </a:stretch>
                  </pic:blipFill>
                  <pic:spPr>
                    <a:xfrm>
                      <a:off x="0" y="0"/>
                      <a:ext cx="5243129" cy="5943600"/>
                    </a:xfrm>
                    <a:prstGeom prst="rect"/>
                  </pic:spPr>
                </pic:pic>
              </a:graphicData>
            </a:graphic>
          </wp:inline>
        </w:drawing>
      </w:r>
    </w:p>
    <w:p>
      <w:r>
        <w:t>Can 80% response be reported as 80% of the whole grade responding?</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Document whose requests inform the recommender and avoid treating an easily reached group as all intended users.</w:t>
      </w:r>
    </w:p>
    <w:p>
      <w:pPr>
        <w:pStyle w:val="Heading1"/>
      </w:pPr>
      <w:r>
        <w:t>24. Project portfolio milestone</w:t>
      </w:r>
    </w:p>
    <w:p>
      <w:r>
        <w:t>Project: Transparent Book Recommender</w:t>
      </w:r>
    </w:p>
    <w:p>
      <w:r>
        <w:t>Current milestone: Evaluate and revise. Compare with your starting method, explain errors and record a justified revision.</w:t>
      </w:r>
    </w:p>
    <w:p>
      <w:r>
        <w:t>Document whose requests inform the recommender and avoid treating an easily reached group as all intended users.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25. Supported practice and learning evidence</w:t>
      </w:r>
    </w:p>
    <w:p>
      <w:r>
        <w:t>Use this supported practice once, in the browser or on paper. Keep the reserved independent assessment for a separate first attempt before teacher feedback.</w:t>
      </w:r>
    </w:p>
    <w:p>
      <w:r>
        <w:t>A fictional Grade 7 class wants to understand book-format preferences across its whole grade.</w:t>
      </w:r>
    </w:p>
    <w:p>
      <w:pPr>
        <w:pStyle w:val="Heading3"/>
      </w:pPr>
      <w:r>
        <w:t>Practice 1: explain the deciding evidence</w:t>
      </w:r>
    </w:p>
    <w:p>
      <w:r>
        <w:t>Which labelled step matches this detail? Invitation response rate 12/15=80%; preference counts describe respondents.</w:t>
      </w:r>
    </w:p>
    <w:p>
      <w:r>
        <w:t>1. Define target</w:t>
      </w:r>
    </w:p>
    <w:p>
      <w:r>
        <w:t>2. Report scope</w:t>
      </w:r>
    </w:p>
    <w:p>
      <w:r>
        <w:t>3. Record responses</w:t>
      </w:r>
    </w:p>
    <w:p>
      <w:r>
        <w:t>4. Select invitations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Report scope Invitation response rate 12/15=80%; preference counts describe respondents. A sample plan states who could be selected, how selection happens and what happens after invitation. Random invitations do not guarantee that respondents resemble those who declined. Use a neutral question and preserve nonresponse coverage. Learners can discuss aggregate counts without receiving the identifiable selection frame.</w:t>
      </w:r>
    </w:p>
    <w:p>
      <w:pPr>
        <w:pStyle w:val="Heading3"/>
      </w:pPr>
      <w:r>
        <w:t>Practice 2: explain the deciding evidence</w:t>
      </w:r>
    </w:p>
    <w:p>
      <w:r>
        <w:t>Changed-case practice: Invite only the 15 library-club members instead. Which conclusion is supported by the supplied facts?</w:t>
      </w:r>
    </w:p>
    <w:p>
      <w:r>
        <w:t>1. This one example guarantees correct results for every future input.</w:t>
      </w:r>
    </w:p>
    <w:p>
      <w:r>
        <w:t>2. The invitation process no longer covers the whole grade through this frame.</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invitation process no longer covers the whole grade through this frame. Club members may differ in reading interests; selection is now limited to one group.</w:t>
      </w:r>
    </w:p>
    <w:p>
      <w:pPr>
        <w:pStyle w:val="Heading3"/>
      </w:pPr>
      <w:r>
        <w:t>Repair a missing building block</w:t>
      </w:r>
    </w:p>
    <w:p>
      <w:r>
        <w:t>Review Missing Data (ai-2/18). Goal: Detect absent and unusable values. Short practice: Why is the Boolean True rejected even though arithmetic can treat it like 1 in Python?. Return to this week and explain what you changed.</w:t>
      </w:r>
    </w:p>
    <w:p>
      <w:r>
        <w:t>Review Overfitting Intuition (ai-2/16). Goal: Compare training and validation evidence for model capacity. Short practice: Does zero training error justify choosing Complex in the original record?. Return to this week and explain what you changed.</w:t>
      </w:r>
    </w:p>
    <w:p>
      <w:r>
        <w:t>Review Types of Classification Error (ai-2/13). Goal: Build a labelled confusion matrix from matched reference and prediction pairs. Short practice: Which error causes a sound book to be sent for unnecessary repair review?.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