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ai-3/15</w:t>
      </w:r>
    </w:p>
    <w:p>
      <w:pPr>
        <w:pStyle w:val="Title"/>
      </w:pPr>
      <w:r>
        <w:t>Source Quality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Hallucination Failure Types</w:t>
      </w:r>
    </w:p>
    <w:p>
      <w: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Speech and Audio Systems</w:t>
      </w:r>
    </w:p>
    <w:p>
      <w: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Conflicting and time-sensitive sources.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Conflicting and time-sensitive sources.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school notice updated Friday conflicts with a blog quoting Monday's notice about a room change. Which source should you inspect first, and why is newest alone not enough?</w:t>
      </w:r>
    </w:p>
    <w:p>
      <w:pPr>
        <w:pStyle w:val="Heading1"/>
      </w:pPr>
      <w:r>
        <w:t>06. Solve the given case</w:t>
      </w:r>
    </w:p>
    <w:p>
      <w:r>
        <w:t>An original experiment report and an anonymous unlinked summary describe a method.</w:t>
      </w:r>
    </w:p>
    <w:p>
      <w:r>
        <w:t>Where should verification begin?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For a school's current opening time, compare an undated repost with a dated notice issued by the school. Which is the stronger starting source, and what must still be checked?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an approved source list and record why each source fits the learner’s question.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school notice updated Friday conflicts with a blog quoting Monday's notice about a room change. Which source should you inspect first, and why is newest alone not enough?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Notice N says room A from Monday. Signed amendment M references N and changes to B effective Wednesday. Query asks Tuesday, then Thursday.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An unspecified authority or effective-time rule leaves a conflict unresolved; do not invent precedence.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Source Quality</w:t>
      </w:r>
    </w:p>
    <w:p>
      <w:r>
        <w:t>A fictional Study Buddy answers which room a club is authorised to use.</w:t>
      </w:r>
    </w:p>
    <w:p>
      <w:r>
        <w:t>Signed notice A: Hall 1 from day 1. Signed amendment B references A and changes to Hall 3 effective day 8.</w:t>
      </w:r>
    </w:p>
    <w:p>
      <w:r>
        <w:t>An old copy of A is reuploaded on day 10. B remains the authoritative amendment. Queries concern day 6 and day 9.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Source Quality. Check authority: B is a signed amendment to A, not an unrelated comment.. Day 6: Before effective day 8, authorised room is Hall 1.. Day 9: From day 8 onward, authorised room is Hall 3..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source fields must be checked before answering day 9?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Store Study Buddy source identity, version, authority and effective date, especially for schedules or changing classroom rules.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Test changed cases. Keep normal, boundary and failure cases; compare expected and observed results.</w:t>
      </w:r>
    </w:p>
    <w:p>
      <w:r>
        <w:t>Store Study Buddy source identity, version, authority and effective date, especially for schedules or changing classroom rules.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Study Buddy answers which room a club is authorised to use.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Reuploading old A on day 10 does not revoke B.</w:t>
      </w:r>
    </w:p>
    <w:p>
      <w:r>
        <w:t>1. Day 9</w:t>
      </w:r>
    </w:p>
    <w:p>
      <w:r>
        <w:t>2. Ignore upload shortcut</w:t>
      </w:r>
    </w:p>
    <w:p>
      <w:r>
        <w:t>3. Day 6</w:t>
      </w:r>
    </w:p>
    <w:p>
      <w:r>
        <w:t>4. Check authority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Ignore upload shortcut Reuploading old A on day 10 does not revoke B. A source’s upload time and the time its rule takes effect answer different questions. Preserve version relationships and the query’s intended date. The current authoritative chain gives a consistent answer to both queries. A later filename or timestamp alone cannot establish that an old record supersedes a signed amendment.</w:t>
      </w:r>
    </w:p>
    <w:p>
      <w:pPr>
        <w:pStyle w:val="Heading3"/>
      </w:pPr>
      <w:r>
        <w:t>Practice 2: explain the deciding evidence</w:t>
      </w:r>
    </w:p>
    <w:p>
      <w:r>
        <w:t>Changed-case practice: A signed amendment C explicitly revokes B effective day 12 and restores Hall 1. Which conclusion is supported by the supplied facts?</w:t>
      </w:r>
    </w:p>
    <w:p>
      <w:r>
        <w:t>1. Day 9 stays Hall 3; day 13 becomes Hall 1.</w:t>
      </w:r>
    </w:p>
    <w:p>
      <w:r>
        <w:t>2. We can decide the result without examining the changed input or the procedure.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Day 9 stays Hall 3; day 13 becomes Hall 1. The new authoritative change applies from its stated effective date, not retroactively.</w:t>
      </w:r>
    </w:p>
    <w:p>
      <w:pPr>
        <w:pStyle w:val="Heading3"/>
      </w:pPr>
      <w:r>
        <w:t>Repair a missing building block</w:t>
      </w:r>
    </w:p>
    <w:p>
      <w:r>
        <w:t>Review Hallucination Failure Types (ai-3/14). Goal: Explain the mechanism and terminology of generation failures and verification. Short practice: Can we conclude there will definitely be no lunch from S alone?. Return to this week and explain what you changed.</w:t>
      </w:r>
    </w:p>
    <w:p>
      <w:r>
        <w:t>Review Speech and Audio Systems (ai-3/12). Goal: Explain the mechanism and terminology of speech pipelines and multimodal evidence. Short practice: Which stage was initially wrong, and which stage was correctly operating on a wrong input?. Return to this week and explain what you changed.</w:t>
      </w:r>
    </w:p>
    <w:p>
      <w:r>
        <w:t>Review Prompt Evaluation (ai-3/9). Goal: Explain the mechanism and terminology of controlled prompt experiments. Short practice: Why is B’s selection defensible here without calling it universally superior?.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