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ai-4/7</w:t>
      </w:r>
    </w:p>
    <w:p>
      <w:pPr>
        <w:pStyle w:val="Title"/>
      </w:pPr>
      <w:r>
        <w:t>Sampling and Intended Use</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Label Quality</w:t>
      </w:r>
    </w:p>
    <w:p>
      <w:r>
        <w:t>Without opening the old lesson, explain one key idea from Label Quality.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Python and Table Readiness</w:t>
      </w:r>
    </w:p>
    <w:p>
      <w:r>
        <w:t>Without opening the old lesson, explain one key idea from Python and Table Readiness.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The ML Lifecycle</w:t>
      </w:r>
    </w:p>
    <w:p>
      <w:r>
        <w:t>Without opening the old lesson, explain one key idea from The ML Lifecycle.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the audit counts for Dataset inspection and cards.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Training plant photos are all indoors on one phone. Intended use includes outdoor photos on other cameras. Plan a sampling check before making a general accuracy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Training uses indoor photos from one phone; deployment uses outdoor photos from several phones. Specify two evaluation slices and explain why adding more indoor photos may not resolve the gap.</w:t>
      </w:r>
    </w:p>
    <w:p>
      <w:pPr>
        <w:pStyle w:val="Heading1"/>
      </w:pPr>
      <w:r>
        <w:t>06. Solve the given case</w:t>
      </w:r>
    </w:p>
    <w:p>
      <w:r>
        <w:t>Training photos use indoor white backgrounds; intended use is outdoors.</w:t>
      </w:r>
    </w:p>
    <w:p>
      <w:r>
        <w:t>Identify the coverage gap.</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Training photographs all show mature plants in bright light, but intended users photograph seedlings indoors. What claim is unsupported and what data is needed?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Freeze the Plant Classifier intended-use statement and a coverage table for species, lighting, camera, and health class.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Training uses indoor photos from one phone; deployment uses outdoor photos from several phones. Specify two evaluation slices and explain why adding more indoor photos may not resolve the gap.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Define the row and source</w:t>
      </w:r>
    </w:p>
    <w:p>
      <w:r>
        <w:t>For Robot practice v1, state what one row is intended to represent, the source, the unit and the meaning of None.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the audit counts</w:t>
      </w:r>
    </w:p>
    <w:p>
      <w:r>
        <w:t>Explain each number in 5 4 2 1. How many extra ID occurrences are there, and how many rows belong to a repeated-ID group?</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Reject an unsupported correction</w:t>
      </w:r>
    </w:p>
    <w:p>
      <w:r>
        <w:t>A learner changes None to 0 and -2 to 2, then reports a clean dataset. Explain why this is not a justified repair and what record should be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an evidence gap</w:t>
      </w:r>
    </w:p>
    <w:p>
      <w:r>
        <w:t>Someone duplicates each row ten times and claims the export now covers more kinds of trips. Explain what changed and what did not.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Sampling and Intended Use</w:t>
      </w:r>
    </w:p>
    <w:p>
      <w:r>
        <w:t>Sample for the conditions in which the plant classifier will actually be used.</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r>
        <w:t>Which collection would address the intended-use gap most directly?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Sample for the conditions in which the plant classifier will actually be used.</w:t>
      </w:r>
    </w:p>
    <w:p>
      <w:pPr>
        <w:pStyle w:val="Heading3"/>
      </w:pPr>
      <w:r>
        <w:t>Practice 1: explain the deciding evidence</w:t>
      </w:r>
    </w:p>
    <w:p>
      <w:r>
        <w:t>Which labelled step matches this detail? Collect consented fictional or teacher-created evening examples; keep plant groups separate across development and final evaluation.</w:t>
      </w:r>
    </w:p>
    <w:p>
      <w:r>
        <w:t>1. Identify gap</w:t>
      </w:r>
    </w:p>
    <w:p>
      <w:r>
        <w:t>2. Declare coverage</w:t>
      </w:r>
    </w:p>
    <w:p>
      <w:r>
        <w:t>3. Plan comparison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comparison Collect consented fictional or teacher-created evening examples; keep plant groups separate across development and final evaluation. 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Collect 12 more midday windowsill photos of the same plants. Which conclusion is supported by the supplied facts?</w:t>
      </w:r>
    </w:p>
    <w:p>
      <w:r>
        <w:t>1. This one example guarantees correct results for every future input.</w:t>
      </w:r>
    </w:p>
    <w:p>
      <w:r>
        <w:t>2. We can decide the result without examining the changed input or the procedure.</w:t>
      </w:r>
    </w:p>
    <w:p>
      <w:r>
        <w:t>3. The evening-coverage gap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evening-coverage gap remains. More rows in the same condition do not supply evidence about the missing condition.</w:t>
      </w:r>
    </w:p>
    <w:p>
      <w:pPr>
        <w:pStyle w:val="Heading3"/>
      </w:pPr>
      <w:r>
        <w:t>Repair a missing building block</w:t>
      </w:r>
    </w:p>
    <w:p>
      <w:r>
        <w:t>Review Label Quality (ai-4/6). Goal: Write an observable label rule with boundaries and a review option. Short practice: Why should two annotators not vote away Z’s missing evidence? Point to the relevant step in the picture, then write the changed result and the rule or evidence that supports it.. Return to this week and explain what you changed.</w:t>
      </w:r>
    </w:p>
    <w:p>
      <w:r>
        <w:t>Review Python and Table Readiness (ai-4/4). Goal: Specify a table schema. Short practice: Why should the missing value not silently become zero? Point to the relevant step in the picture, then write the changed result and the rule or evidence that supports it.. Return to this week and explain what you changed.</w:t>
      </w:r>
    </w:p>
    <w:p>
      <w:r>
        <w:t>Review The ML Lifecycle (ai-4/1). Goal: Distinguish fitting a rule from applying a fixed rule. Short practice: Should the team silently retune on the changed test?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