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ai-4/31</w:t>
      </w:r>
    </w:p>
    <w:p>
      <w:pPr>
        <w:pStyle w:val="Title"/>
      </w:pPr>
      <w:r>
        <w:t>Subgroup Performance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sensitivity for Subgroup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Subgroup evaluation.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Device A gets 18/20 correct; B gets 6/10. Compute overall accuracy and the subgroup gap. What causal claim is not supported?</w:t>
      </w:r>
    </w:p>
    <w:p>
      <w:pPr>
        <w:pStyle w:val="Heading1"/>
      </w:pPr>
      <w:r>
        <w:t>06. Solve the given case</w:t>
      </w:r>
    </w:p>
    <w:p>
      <w:r>
        <w:t>A has18/20 correct; B has6/10.</w:t>
      </w:r>
    </w:p>
    <w:p>
      <w:r>
        <w:t>Compute subgroup results and evidence limits.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Accuracy is 18/20 in bright light and 6/10 in dim light. Compute both rates and the percentage-point gap.</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subgroup tables and a minimum acceptable threshold to the Plant Classifier release criteria.</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Device A gets 18/20 correct; B gets 6/10. Compute overall accuracy and the subgroup gap. What causal claim is not supported?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group rates</w:t>
      </w:r>
    </w:p>
    <w:p>
      <w:r>
        <w:t>Calculate the worked group and pooled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sensitivity</w:t>
      </w:r>
    </w:p>
    <w:p>
      <w:r>
        <w:t>How does correcting one B error affect its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Report missing coverage</w:t>
      </w:r>
    </w:p>
    <w:p>
      <w:r>
        <w:t>Group C has no evaluated cases. What is its measured error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Groups X 1 error/10 and Y 2/4: calculate separate and pooled rates, then state one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 fairness shortcut</w:t>
      </w:r>
    </w:p>
    <w:p>
      <w:r>
        <w:t>Why does equal accuracy not settle whether use is fair?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Subgroup Performance</w:t>
      </w:r>
    </w:p>
    <w:p>
      <w:r>
        <w:t>Calculate subgroup and pooled error rates without letting the larger group hide a gap.</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r>
        <w:t>Why should the report retain subgroup rates alongside the total?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Calculate subgroup and pooled error rates without letting the larger group hide a gap.</w:t>
      </w:r>
    </w:p>
    <w:p>
      <w:pPr>
        <w:pStyle w:val="Heading3"/>
      </w:pPr>
      <w:r>
        <w:t>Practice 1: explain the deciding evidence</w:t>
      </w:r>
    </w:p>
    <w:p>
      <w:r>
        <w:t>Which labelled step matches this detail? Total error=5/25=20%, which hides the 50-percentage-point subgroup difference.</w:t>
      </w:r>
    </w:p>
    <w:p>
      <w:r>
        <w:t>1. Pooled rate</w:t>
      </w:r>
    </w:p>
    <w:p>
      <w:r>
        <w:t>2. Sun rate</w:t>
      </w:r>
    </w:p>
    <w:p>
      <w:r>
        <w:t>3. Shade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Pooled rate Total error=5/25=20%, which hides the 50-percentage-point subgroup difference. 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Shade gains5 new cases with no errors. Which conclusion is supported by the supplied facts?</w:t>
      </w:r>
    </w:p>
    <w:p>
      <w:r>
        <w:t>1. We can decide the result without examining the changed input or the procedure.</w:t>
      </w:r>
    </w:p>
    <w:p>
      <w:r>
        <w:t>2. Shade error becomes3/10=30%; pooled error becomes5/30≈16.7%.</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Shade error becomes3/10=30%; pooled error becomes5/30≈16.7%. Extra evaluated cases change denominators; existing errors have not disappeared.</w:t>
      </w:r>
    </w:p>
    <w:p>
      <w:pPr>
        <w:pStyle w:val="Heading3"/>
      </w:pPr>
      <w:r>
        <w:t>Repair a missing building block</w:t>
      </w:r>
    </w:p>
    <w:p>
      <w:r>
        <w:t>Review Improve Generalization (ai-4/30). Goal: Compare training and validation evidence for model capacity. Short practice: What fresh evidence is needed after adding crossed training data? Point to the relevant step in the picture, then write the changed result and the rule or evidence that supports it.. Return to this week and explain what you changed.</w:t>
      </w:r>
    </w:p>
    <w:p>
      <w:r>
        <w:t>Review Learning Curves (ai-4/28). Goal: Read training-size learning curves. Short practice: What comparison is valid if the validation set changes between sizes? Point to the relevant step in the picture, then write the changed result and the rule or evidence that supports it.. Return to this week and explain what you changed.</w:t>
      </w:r>
    </w:p>
    <w:p>
      <w:r>
        <w:t>Review Metrics Match Consequences (ai-4/25). Goal: Apply a declared score threshold including equality. Short practice: Which labels determine the false-alarm count at threshold 0.4?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