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w:t>
      </w:r>
    </w:p>
    <w:p>
      <w:pPr>
        <w:pStyle w:val="Title"/>
      </w:pPr>
      <w:r>
        <w:t>Representing inputs as vectors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ML Builder Expo</w:t>
      </w:r>
    </w:p>
    <w:p>
      <w:r>
        <w:t>Without opening the old lesson, explain one key idea from ML Builder Expo.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Convert before encoding for Representing inputs as vectors.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Representing inputs as vectors. Proposed explanation: “Order does not matter”.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schema independently</w:t>
      </w:r>
    </w:p>
    <w:p>
      <w:r>
        <w:t>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Encode the records</w:t>
      </w:r>
    </w:p>
    <w:p>
      <w:r>
        <w:t>Write A, B and C as ordered pairs from the lesson. State the dimension of each and the shape of the stacked table.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Convert before encoding</w:t>
      </w:r>
    </w:p>
    <w:p>
      <w:r>
        <w:t>A new record has width 60 mm and height 10 mm. Give its vector in the agreed cm schema, and name one error in [60, 10].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Handle missing information</w:t>
      </w:r>
    </w:p>
    <w:p>
      <w:r>
        <w:t>Width is 4 cm and height is missing. A teammate writes [4, 0]. Explain why this is invalid and give the action required by this schema.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schema independently</w:t>
      </w:r>
    </w:p>
    <w:p>
      <w:r>
        <w:t>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Explain a collision</w:t>
      </w:r>
    </w:p>
    <w:p>
      <w:r>
        <w:t>Two parcels have the same width and height but different material and target class. Explain why adding more examples alone cannot let this deterministic two-feature model tell these two inputs apart.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representing inputs as vectors evidence sheet to Image-pattern Network Investigation. Show how you can encode a record using a fixed feature order and units.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Representing inputs as vectors</w:t>
      </w:r>
    </w:p>
    <w:p>
      <w:r>
        <w:t>Encode the same pixel measurements in a fixed vector order.</w:t>
      </w:r>
    </w:p>
    <w:p>
      <w:r>
        <w:t>Toy image features are [left_brightness, right_brightness], each = 0..10. ImageA has left2, right7; imageB has left7, right2.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presenting inputs as vectors. Declare coordinate order: Coordinate0 is left brightness; coordinate1 is right brightness.. Encode both images: A becomes [2, 7]; B becomes [7, 2]. Their sums match but their spatial patterns differ..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visual-ai-5-1.png"/>
                    <pic:cNvPicPr/>
                  </pic:nvPicPr>
                  <pic:blipFill>
                    <a:blip r:embed="rId9"/>
                    <a:stretch>
                      <a:fillRect/>
                    </a:stretch>
                  </pic:blipFill>
                  <pic:spPr>
                    <a:xfrm>
                      <a:off x="0" y="0"/>
                      <a:ext cx="5486400" cy="5261429"/>
                    </a:xfrm>
                    <a:prstGeom prst="rect"/>
                  </pic:spPr>
                </pic:pic>
              </a:graphicData>
            </a:graphic>
          </wp:inline>
        </w:drawing>
      </w:r>
    </w:p>
    <w:p>
      <w:r>
        <w:t>Why does equal total brightness not make A and B identical inputs?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Encode the same pixel measurements in a fixed vector order.</w:t>
      </w:r>
    </w:p>
    <w:p>
      <w:pPr>
        <w:pStyle w:val="Heading3"/>
      </w:pPr>
      <w:r>
        <w:t>Practice 1: explain the deciding evidence</w:t>
      </w:r>
    </w:p>
    <w:p>
      <w:r>
        <w:t>Which labelled step matches this detail? Use the same order when training and predicting; record missing measurements rather than guessing.</w:t>
      </w:r>
    </w:p>
    <w:p>
      <w:r>
        <w:t>1. Declare coordinate order</w:t>
      </w:r>
    </w:p>
    <w:p>
      <w:r>
        <w:t>2. Check input contract</w:t>
      </w:r>
    </w:p>
    <w:p>
      <w:r>
        <w:t>3. Encode both images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input contract Use the same order when training and predicting; record missing measurements rather than guessing. A vector is an ordered list, so the position of a number carries meaning. Here the first number always means left brightness. Adding the two measurements keeps total brightness but discards which side is brighter. A network receives the representation we give it; it cannot recover a lost distinction just because it has more layers.</w:t>
      </w:r>
    </w:p>
    <w:p>
      <w:pPr>
        <w:pStyle w:val="Heading3"/>
      </w:pPr>
      <w:r>
        <w:t>Practice 2: explain the deciding evidence</w:t>
      </w:r>
    </w:p>
    <w:p>
      <w:r>
        <w:t>Changed-case practice: Swap only A’s vector order before prediction. Which conclusion is supported by the supplied facts?</w:t>
      </w:r>
    </w:p>
    <w:p>
      <w:r>
        <w:t>1. The encoded input becomes [7, 2], numerically identical to B’s original input.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encoded input becomes [7, 2], numerically identical to B’s original input. Changing coordinate order changes feature meaning even if the numbers are unchanged.</w:t>
      </w:r>
    </w:p>
    <w:p>
      <w:pPr>
        <w:pStyle w:val="Heading3"/>
      </w:pPr>
      <w:r>
        <w:t>Repair a missing building block</w:t>
      </w:r>
    </w:p>
    <w:p>
      <w:r>
        <w:t>Review ML Builder Expo (ai-4/36). Goal: Defend the project using traceable evidence. Short practice: Which three supporting items should be visible at the expo?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