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ai-5/20</w:t>
      </w:r>
    </w:p>
    <w:p>
      <w:pPr>
        <w:pStyle w:val="Title"/>
      </w:pPr>
      <w:r>
        <w:t>Image tensors and channels</w:t>
      </w:r>
    </w:p>
    <w:p>
      <w:r>
        <w:t>Project: Image-pattern Network Investigation</w:t>
      </w:r>
    </w:p>
    <w:p>
      <w:pPr>
        <w:pStyle w:val="Heading1"/>
      </w:pPr>
      <w:r>
        <w:t>01. Recall and choose your starting point</w:t>
      </w:r>
    </w:p>
    <w:p>
      <w:r>
        <w:t>Try the recall before opening notes. Then use a different colour or a labelled second line to correct your explanation.</w:t>
      </w:r>
    </w:p>
    <w:p>
      <w:pPr>
        <w:pStyle w:val="Heading3"/>
      </w:pPr>
      <w:r>
        <w:t>Learned representations</w:t>
      </w:r>
    </w:p>
    <w:p>
      <w:r>
        <w:t>Without opening the old lesson, explain one key idea from Learned representations.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Initialisation and reproducibility</w:t>
      </w:r>
    </w:p>
    <w:p>
      <w:r>
        <w:t>Without opening the old lesson, explain one key idea from Initialisation and reproducibility.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Learning rate experiments</w:t>
      </w:r>
    </w:p>
    <w:p>
      <w:r>
        <w:t>Without opening the old lesson, explain one key idea from Learning rate experiments.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Audit an axis conversion for Image tensors and channels.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Image tensors and channels. Proposed explanation: “Three channels mean three images”.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Read a pixel precisely</w:t>
      </w:r>
    </w:p>
    <w:p>
      <w:r>
        <w:t>For the lesson image, give image[1][0], image[1][0][2], the HWC shape, pixel count and number of channel values.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Audit an axis conversion</w:t>
      </w:r>
    </w:p>
    <w:p>
      <w:r>
        <w:t>A program flattens the lesson HWC array and groups the first four values into a 2 by 2 red plane. Give that incorrect plane and the correct plane. Identify a position where they disagree.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Check scaling and lost colour</w:t>
      </w:r>
    </w:p>
    <w:p>
      <w:r>
        <w:t>Scale [255, 128, 0] by 255, keeping the middle value as a fraction. Then calculate the classroom RGB means of pure red and pure green. Which operation loses the distinction between those colours?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Convert a new image independently</w:t>
      </w:r>
    </w:p>
    <w:p>
      <w:r>
        <w:t>A one-row two-column RGB image has pixels [10, 20, 30] then [40, 50, 60]. State its HWC shape and all three CHW planes. Give the green value at row 0 column 1 in both layouts. A batch contains four copies: give its NHWC shape and total channel-value count.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revealing pipeline checks</w:t>
      </w:r>
    </w:p>
    <w:p>
      <w:r>
        <w:t>The lesson image is loaded with red and blue exchanged, then scaled twice. Give two expected checks that would expose these errors even though the shape is correct.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image tensors and channels evidence sheet to Image-pattern Network Investigation. Show how you can read a pixel using declared row column and channel axes.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Image tensors and channels</w:t>
      </w:r>
    </w:p>
    <w:p>
      <w:r>
        <w:t>Move colour values between tensor layouts without changing the pixels.</w:t>
      </w:r>
    </w:p>
    <w:p>
      <w:r>
        <w:t>Toy RGB image has 2 rows, 1 column. Top pixel [1, 4, 7]; bottom [2, 5, 8]. HWC means height, width, channel.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Two RGB pixels before layout conversion"/>
            <wp:cNvGraphicFramePr>
              <a:graphicFrameLocks noChangeAspect="1"/>
            </wp:cNvGraphicFramePr>
            <a:graphic>
              <a:graphicData uri="http://schemas.openxmlformats.org/drawingml/2006/picture">
                <pic:pic>
                  <pic:nvPicPr>
                    <pic:cNvPr id="0" name="academy-detail-ai-5-20.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Image tensors and channels. Record HWC shape: Shape is [2, 1, 3]; top green is 4 and bottom green5.. Reorder to CHW: Shape [3, 2, 1]; red plane [[1],[2]], green [[4],[5]], blue [[7],[8]].. Check same pixel: Bottom green is HWC [1, 0, 1]=5 and CHW [1, 1, 0]=5."/>
            <wp:cNvGraphicFramePr>
              <a:graphicFrameLocks noChangeAspect="1"/>
            </wp:cNvGraphicFramePr>
            <a:graphic>
              <a:graphicData uri="http://schemas.openxmlformats.org/drawingml/2006/picture">
                <pic:pic>
                  <pic:nvPicPr>
                    <pic:cNvPr id="0" name="academy-visual-ai-5-20.png"/>
                    <pic:cNvPicPr/>
                  </pic:nvPicPr>
                  <pic:blipFill>
                    <a:blip r:embed="rId10"/>
                    <a:stretch>
                      <a:fillRect/>
                    </a:stretch>
                  </pic:blipFill>
                  <pic:spPr>
                    <a:xfrm>
                      <a:off x="0" y="0"/>
                      <a:ext cx="5486400" cy="5185229"/>
                    </a:xfrm>
                    <a:prstGeom prst="rect"/>
                  </pic:spPr>
                </pic:pic>
              </a:graphicData>
            </a:graphic>
          </wp:inline>
        </w:drawing>
      </w:r>
    </w:p>
    <w:p>
      <w:r>
        <w:t>Where is the bottom green pixel in the first batched image? Point to the relevant step in the picture, then write the changed result and the rule or evidence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13. Project portfolio milestone</w:t>
      </w:r>
    </w:p>
    <w:p>
      <w:r>
        <w:t>Project: Image-pattern Network Investigation</w:t>
      </w:r>
    </w:p>
    <w:p>
      <w:r>
        <w:t>Current milestone: Evaluate and revise. Compare with your starting method, explain errors and record a justified revision.</w:t>
      </w:r>
    </w:p>
    <w:p>
      <w:r>
        <w:t>For your Image-pattern Network Investigation, save the input, procedure, observed result and limitation of this check. 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Supported practice and learning evidence</w:t>
      </w:r>
    </w:p>
    <w:p>
      <w:r>
        <w:t>Use this supported practice once, in the browser or on paper. Keep the reserved independent assessment for a separate first attempt before teacher feedback.</w:t>
      </w:r>
    </w:p>
    <w:p>
      <w:r>
        <w:t>Move colour values between tensor layouts without changing the pixels.</w:t>
      </w:r>
    </w:p>
    <w:p>
      <w:pPr>
        <w:pStyle w:val="Heading3"/>
      </w:pPr>
      <w:r>
        <w:t>Practice 1: explain the deciding evidence</w:t>
      </w:r>
    </w:p>
    <w:p>
      <w:r>
        <w:t>Which labelled step matches this detail? Bottom green is HWC [1, 0, 1]=5 and CHW [1, 1, 0]=5.</w:t>
      </w:r>
    </w:p>
    <w:p>
      <w:r>
        <w:t>1. Record HWC shape</w:t>
      </w:r>
    </w:p>
    <w:p>
      <w:r>
        <w:t>2. Reorder to CHW</w:t>
      </w:r>
    </w:p>
    <w:p>
      <w:r>
        <w:t>3. Check same pixel</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Check same pixel Bottom green is HWC [1, 0, 1]=5 and CHW [1, 1, 0]=5. A tensor is an array with named dimensions. HWC orders height, width and colour; CHW puts colour first. Rearranging the layout changes where values are stored, not the colour measurement itself. Trace a named pixel through both layouts using zero-based indices. Adding a batch dimension counts images and does not add a new colour channel.</w:t>
      </w:r>
    </w:p>
    <w:p>
      <w:pPr>
        <w:pStyle w:val="Heading3"/>
      </w:pPr>
      <w:r>
        <w:t>Practice 2: explain the deciding evidence</w:t>
      </w:r>
    </w:p>
    <w:p>
      <w:r>
        <w:t>Changed-case practice: Add a batch containing three identical images in NHWC layout. Which conclusion is supported by the supplied facts?</w:t>
      </w:r>
    </w:p>
    <w:p>
      <w:r>
        <w:t>1. Batch shape is [3, 2, 1, 3].</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Batch shape is [3, 2, 1, 3]. The new first dimension counts images; it does not add a fourth colour channel.</w:t>
      </w:r>
    </w:p>
    <w:p>
      <w:pPr>
        <w:pStyle w:val="Heading3"/>
      </w:pPr>
      <w:r>
        <w:t>Repair a missing building block</w:t>
      </w:r>
    </w:p>
    <w:p>
      <w:r>
        <w:t>Review Learned representations (ai-5/19). Goal: Trace an input through a hidden representation and a decision rule. Short practice: Why can no deterministic head using only the sum classify both correctly? Point to the relevant step in the picture, then write the changed result and the rule or evidence that supports it.. Return to this week and explain what you changed.</w:t>
      </w:r>
    </w:p>
    <w:p>
      <w:r>
        <w:t>Review Initialisation and reproducibility (ai-5/17). Goal: Trace how starting values affect a fixed training budget. Short practice: Does the matching final loss mean the parameter values are equal? Point to the relevant step in the picture, then write the changed result and the rule or evidence that supports it.. Return to this week and explain what you changed.</w:t>
      </w:r>
    </w:p>
    <w:p>
      <w:r>
        <w:t>Review Learning rate experiments (ai-5/14). Goal: Run a controlled comparison of learning rates. Short practice: What should a fair rate comparison hold fixed?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