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ai-5/30</w:t>
      </w:r>
    </w:p>
    <w:p>
      <w:pPr>
        <w:pStyle w:val="Title"/>
      </w:pPr>
      <w:r>
        <w:t>Dataset shift in neural models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right denominator for Dataset shift in neural models.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Audit the two cohorts</w:t>
      </w:r>
    </w:p>
    <w:p>
      <w:r>
        <w:t>From the table, calculate clear and dim accuracy in each cohort and the clear/dim proportions. Which observed quantities change, and which remain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right denominator</w:t>
      </w:r>
    </w:p>
    <w:p>
      <w:r>
        <w:t>Calculate overall correct counts, accuracy and errors in both cohorts, plus the percentage-point drop. Explain why averaging 90 percent and 50 percent without weights gives the wrong overall result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an alert from an outcome</w:t>
      </w:r>
    </w:p>
    <w:p>
      <w:r>
        <w:t>New-use monitoring shows more dim images but reference labels have not arrived. What can you report now, what can you not calculate, and what checks should precede blaming the neural network?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Protect the comparison</w:t>
      </w:r>
    </w:p>
    <w:p>
      <w:r>
        <w:t>A team retrains using new-use errors, then evaluates on those same images and their brightened copies. Explain why the score is not independent evidence and propose a comparison that includes the original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shift in neural models</w:t>
      </w:r>
    </w:p>
    <w:p>
      <w:r>
        <w:t>Separate within-setting performance from changing setting proportions.</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r>
        <w:t>Did the supplied model’s dim-light accuracy deteriorate?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Separate within-setting performance from changing setting proportions.</w:t>
      </w:r>
    </w:p>
    <w:p>
      <w:pPr>
        <w:pStyle w:val="Heading3"/>
      </w:pPr>
      <w:r>
        <w:t>Practice 1: explain the deciding evidence</w:t>
      </w:r>
    </w:p>
    <w:p>
      <w:r>
        <w:t>Which labelled step matches this detail? New accuracy 28/50=56%; more use now occurs in the harder dim setting.</w:t>
      </w:r>
    </w:p>
    <w:p>
      <w:r>
        <w:t>1. New pooled rate</w:t>
      </w:r>
    </w:p>
    <w:p>
      <w:r>
        <w:t>2. Keep slice rates</w:t>
      </w:r>
    </w:p>
    <w:p>
      <w: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New pooled rate New accuracy 28/50=56%; more use now occurs in the harder dim setting. 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Practice 2: explain the deciding evidence</w:t>
      </w:r>
    </w:p>
    <w:p>
      <w:r>
        <w:t>Changed-case practice: New-use mix returns to40 bright and 10 dim with the same slice rates. Which conclusion is supported by the supplied facts?</w:t>
      </w:r>
    </w:p>
    <w:p>
      <w:r>
        <w:t>1. This one example guarantees correct results for every future input.</w:t>
      </w:r>
    </w:p>
    <w:p>
      <w:r>
        <w:t>2. Pooled accuracy returns to74%.</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Pooled accuracy returns to74%. The mixture weights change, while each slice’s conditional performance stays fixed.</w:t>
      </w:r>
    </w:p>
    <w:p>
      <w:pPr>
        <w:pStyle w:val="Heading3"/>
      </w:pPr>
      <w:r>
        <w:t>Repair a missing building block</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