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ai-5/34</w:t>
      </w:r>
    </w:p>
    <w:p>
      <w:pPr>
        <w:pStyle w:val="Title"/>
      </w:pPr>
      <w:r>
        <w:t>Capstone controlled experiments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Capstone hypothesis and baseline</w:t>
      </w:r>
    </w:p>
    <w:p>
      <w: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Efficiency and resource measurement</w:t>
      </w:r>
    </w:p>
    <w:p>
      <w: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both runs for Capstone controlled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controlled experiments. Proposed explanation: “More runs mean more validation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new comparison independently</w:t>
      </w:r>
    </w:p>
    <w:p>
      <w:r>
        <w:t>For training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Name the controls</w:t>
      </w:r>
    </w:p>
    <w:p>
      <w:r>
        <w:t>List six settings held fixed and the single intended changed factor.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both runs</w:t>
      </w:r>
    </w:p>
    <w:p>
      <w:r>
        <w:t>Compute both updates for rates 0.1 and 0.2 using gradient 5*(a-2).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Select without extra evidence</w:t>
      </w:r>
    </w:p>
    <w:p>
      <w:r>
        <w:t>Recompute validation MSE for the final weights and apply the written selection rule. How many distinct validation rows were used?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Run a new comparison independently</w:t>
      </w:r>
    </w:p>
    <w:p>
      <w:r>
        <w:t>For training (1,3),(2,6) and validation (3,9),(4,12), start a = 1. Compare rates 0.1 and 0.2 for two updates. Gradient is 5*(a-3). Compute final weights and validation MSE, then select lower MSE; ties go to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mixed comparison</w:t>
      </w:r>
    </w:p>
    <w:p>
      <w:r>
        <w:t>Run A uses rate 0.1 for two updates; run B uses rate 0.2 for six updates and different training rows. Can the difference be attributed to rate alone?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Capstone controlled experiments</w:t>
      </w:r>
    </w:p>
    <w:p>
      <w:r>
        <w:t>One controlled network change. The capstone compares two fixed networks on the same six labelled toy patterns. Only one feature connection is added.</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r>
        <w:t>Compute the two correct counts and identify the changed case. Why would changing B’s training data weaken the conclusion about its added connection?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One controlled network change. The capstone compares two fixed networks on the same six labelled toy patterns. Only one feature connection is added.</w:t>
      </w:r>
    </w:p>
    <w:p>
      <w:pPr>
        <w:pStyle w:val="Heading3"/>
      </w:pPr>
      <w:r>
        <w:t>Practice 1: explain the deciding evidence</w:t>
      </w:r>
    </w:p>
    <w:p>
      <w:r>
        <w:t>Which labelled step matches this detail? Only case three changes correctness; case five fails for both.</w:t>
      </w:r>
    </w:p>
    <w:p>
      <w:r>
        <w:t>1. Inspect paired cases</w:t>
      </w:r>
    </w:p>
    <w:p>
      <w:r>
        <w:t>2. Identify the intervention</w:t>
      </w:r>
    </w:p>
    <w:p>
      <w:r>
        <w:t>3. Count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paired cases Only case three changes correctness; case five fails for both. Controlled experiments vary the specified component while retaining comparable cases. Pairing the outcomes by pattern shows where the score difference comes from instead of hiding it in an overall average.</w:t>
      </w:r>
    </w:p>
    <w:p>
      <w:pPr>
        <w:pStyle w:val="Heading3"/>
      </w:pPr>
      <w:r>
        <w:t>Practice 2: explain the deciding evidence</w:t>
      </w:r>
    </w:p>
    <w:p>
      <w:r>
        <w:t>Changed-case practice: Change B’s training set as well as the feature connection. Which conclusion is supported by the supplied facts?</w:t>
      </w:r>
    </w:p>
    <w:p>
      <w:r>
        <w:t>1. This one example guarantees correct results for every future input.</w:t>
      </w:r>
    </w:p>
    <w:p>
      <w:r>
        <w:t>2. We can decide the result without examining the changed input or the procedure.</w:t>
      </w:r>
    </w:p>
    <w:p>
      <w:r>
        <w:t>3. The experiment no longer isolates the connection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experiment no longer isolates the connection change. A training-data difference supplies an alternative explanation for the observed result.</w:t>
      </w:r>
    </w:p>
    <w:p>
      <w:pPr>
        <w:pStyle w:val="Heading3"/>
      </w:pPr>
      <w:r>
        <w:t>Repair a missing building block</w:t>
      </w:r>
    </w:p>
    <w:p>
      <w:r>
        <w:t>Review Capstone hypothesis and baseline (ai-5/33). Goal: Write a testable capstone hypothesis and a credible baseline. Short practice: Name the intended change, the baseline and the measured outcome. Why must both versions avoid training on the eight reserved labels?. Return to this week and explain what you changed.</w:t>
      </w:r>
    </w:p>
    <w:p>
      <w:r>
        <w:t>Review Efficiency and resource measurement (ai-5/31). Goal: Calculate throughput and amortised time per example from repeated timings. Short practice: Why is 10ms/case not necessarily a single-request latency? Point to the relevant step in the picture, then write the changed result and the rule or evidence that supports it.. Return to this week and explain what you changed.</w:t>
      </w:r>
    </w:p>
    <w:p>
      <w:r>
        <w:t>Review Transfer learning (ai-5/28). Goal: Trace a reused feature extractor and a newly fitted output head. Short practice: Which part was trained for the new task?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