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ai-5/35</w:t>
      </w:r>
    </w:p>
    <w:p>
      <w:pPr>
        <w:pStyle w:val="Title"/>
      </w:pPr>
      <w:r>
        <w:t>Capstone limitations and revision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Capstone controlled experiments</w:t>
      </w:r>
    </w:p>
    <w:p>
      <w:r>
        <w:t>Without opening the old lesson, explain one key idea from Capstone controlled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Documenting a network experiment</w:t>
      </w:r>
    </w:p>
    <w:p>
      <w:r>
        <w:t>Without opening the old lesson, explain one key idea from Documenting a network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with the baseline for Capstone limitations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limitations and revision. Proposed explanation: “Passing a criterion means no failures remain”.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new evidence independently</w:t>
      </w:r>
    </w:p>
    <w:p>
      <w:r>
        <w:t>A frozen ReLU candidate with a = 3 is compared with baseline a = 1 on final rows (2,6),(4,12),(-1,-3),(-2,-6). Compute both MSE values and candidate MSE on negative inputs. Write a bounded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final predictions</w:t>
      </w:r>
    </w:p>
    <w:p>
      <w:r>
        <w:t>For F1–F4 calculate candidate residuals and squared errors.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with the baseline</w:t>
      </w:r>
    </w:p>
    <w:p>
      <w:r>
        <w:t>Compute both overall MSE values and the candidate negative-input MSE. Apply the strict final criterion.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Explain the architecture limit</w:t>
      </w:r>
    </w:p>
    <w:p>
      <w:r>
        <w:t>Why cannot extra training alone make this ReLU output negative? Name a proposed change and the evidence it would require.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new evidence independently</w:t>
      </w:r>
    </w:p>
    <w:p>
      <w:r>
        <w:t>A frozen ReLU candidate with a = 3 is compared with baseline a = 1 on final rows (2,6),(4,12),(-1,-3),(-2,-6). Compute both MSE values and candidate MSE on negative inputs. Write a bounded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Label a revision honestly</w:t>
      </w:r>
    </w:p>
    <w:p>
      <w:r>
        <w:t>After inspecting F1–F4, a student changes to prediction 2*x and reports “new final MSE 0”. Explain the accurate label and the next evaluation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Capstone limitations and revision</w:t>
      </w:r>
    </w:p>
    <w:p>
      <w:r>
        <w:t>Revise a limited claim after a slice failure. A toy network works better on centred patterns than on shifted patterns, so the team narrows its initial claim.</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r>
        <w:t>Calculate the slice rates and explain the claim revision. If the team trains on the shifted evaluation patterns, what kind of evidence does their rerun provide?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Revise a limited claim after a slice failure. A toy network works better on centred patterns than on shifted patterns, so the team narrows its initial claim.</w:t>
      </w:r>
    </w:p>
    <w:p>
      <w:pPr>
        <w:pStyle w:val="Heading3"/>
      </w:pPr>
      <w:r>
        <w:t>Practice 1: explain the deciding evidence</w:t>
      </w:r>
    </w:p>
    <w:p>
      <w:r>
        <w:t>Which labelled step matches this detail? Use separate shifted development patterns, then assess the frozen revision on reserved shifted cases.</w:t>
      </w:r>
    </w:p>
    <w:p>
      <w:r>
        <w:t>1. Compute slice rates</w:t>
      </w:r>
    </w:p>
    <w:p>
      <w:r>
        <w:t>2. Revise the claim</w:t>
      </w:r>
    </w:p>
    <w:p>
      <w:r>
        <w:t>3. Plan a fair revision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a fair revision Use separate shifted development patterns, then assess the frozen revision on reserved shifted cases. A limitation guides a better next experiment. Training on a failed evaluation example may help development, but that exposed example cannot remain the untouched evidence for the revision.</w:t>
      </w:r>
    </w:p>
    <w:p>
      <w:pPr>
        <w:pStyle w:val="Heading3"/>
      </w:pPr>
      <w:r>
        <w:t>Practice 2: explain the deciding evidence</w:t>
      </w:r>
    </w:p>
    <w:p>
      <w:r>
        <w:t>Changed-case practice: Train the revision on all eight failed-slice evaluation patterns and rescore them. Which conclusion is supported by the supplied facts?</w:t>
      </w:r>
    </w:p>
    <w:p>
      <w:r>
        <w:t>1. We can decide the result without examining the changed input or the procedure.</w:t>
      </w:r>
    </w:p>
    <w:p>
      <w:r>
        <w:t>2. Treat the score as exposed-case development, not independent evidence of shift robustness.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Treat the score as exposed-case development, not independent evidence of shift robustness. The evaluation records now influenced learning and model selection.</w:t>
      </w:r>
    </w:p>
    <w:p>
      <w:pPr>
        <w:pStyle w:val="Heading3"/>
      </w:pPr>
      <w:r>
        <w:t>Repair a missing building block</w:t>
      </w:r>
    </w:p>
    <w:p>
      <w:r>
        <w:t>Review Capstone controlled experiments (ai-5/34). Goal: Trace matched two-update learning-rate experiments. Short practice: Compute the two correct counts and identify the changed case. Why would changing B’s training data weaken the conclusion about its added connection?. Return to this week and explain what you changed.</w:t>
      </w:r>
    </w:p>
    <w:p>
      <w:r>
        <w:t>Review Documenting a network experiment (ai-5/32). Goal: Record a network experiment with enough detail to replay its calculations. Short practice: What additional evidence is needed for a final performance claim? Point to the relevant step in the picture, then write the changed result and the rule or evidence that supports it.. Return to this week and explain what you changed.</w:t>
      </w:r>
    </w:p>
    <w:p>
      <w:r>
        <w:t>Review Uncertainty and failure analysis (ai-5/29). Goal: Distinguish a predicted class, confidence score and observed correctness. Short practice: What is C’s positive-class probability and chosen-label confidence?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