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w:t>
      </w:r>
    </w:p>
    <w:p>
      <w:pPr>
        <w:pStyle w:val="Title"/>
      </w:pPr>
      <w:r>
        <w:t>Architecture and data flow</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Architecture and data flow.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Architecture and data flow.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Input is malformed, yet lookup runs and then a validator rejects output. Locate the first stage that should stop.</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student request bypasses the role filter and sends teacher records directly to a generator.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component diagram is a plan, not evidence that the running implementation enforces its arrows.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Input is malformed, yet lookup runs and then a validator rejects output. Locate the first stage that should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architecture and data flow evidence sheet to Grounded Learning Service. Show how you can explain the mechanism and terminology of architecture and data flow.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Architecture and data flow</w:t>
      </w:r>
    </w:p>
    <w:p>
      <w:r>
        <w:t>Four boxes for a library reply. A learner asks when the map room closes. Follow the request through the service.</w:t>
      </w:r>
    </w:p>
    <w:p>
      <w:r>
        <w:t>Approved schedule R says 17:30. The model may phrase facts but cannot replace them.</w:t>
      </w:r>
    </w:p>
    <w:p>
      <w:r>
        <w:drawing>
          <wp:inline xmlns:a="http://schemas.openxmlformats.org/drawingml/2006/main" xmlns:pic="http://schemas.openxmlformats.org/drawingml/2006/picture">
            <wp:extent cx="5486400" cy="5185229"/>
            <wp:docPr id="1" name="Picture 1" descr="Architecture and data flow. Receive question: The interface forwards the map-room question.. Retrieve R: The application retrieves the approved time, 17:30.. Draft and check: A draft cites R and states 17:30; validation checks agreement before returning it."/>
            <wp:cNvGraphicFramePr>
              <a:graphicFrameLocks noChangeAspect="1"/>
            </wp:cNvGraphicFramePr>
            <a:graphic>
              <a:graphicData uri="http://schemas.openxmlformats.org/drawingml/2006/picture">
                <pic:pic>
                  <pic:nvPicPr>
                    <pic:cNvPr id="0" name="academy-visual-ai-6-2.png"/>
                    <pic:cNvPicPr/>
                  </pic:nvPicPr>
                  <pic:blipFill>
                    <a:blip r:embed="rId9"/>
                    <a:stretch>
                      <a:fillRect/>
                    </a:stretch>
                  </pic:blipFill>
                  <pic:spPr>
                    <a:xfrm>
                      <a:off x="0" y="0"/>
                      <a:ext cx="5486400" cy="5185229"/>
                    </a:xfrm>
                    <a:prstGeom prst="rect"/>
                  </pic:spPr>
                </pic:pic>
              </a:graphicData>
            </a:graphic>
          </wp:inline>
        </w:drawing>
      </w:r>
    </w:p>
    <w:p>
      <w:r>
        <w:t>Label what moves along the library request, retrieval and drafting arrows. Where does 17:30 come from, and why must the service stop if the retrieval arrow is disconnected?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Four boxes for a library reply. A learner asks when the map room closes. Follow the request through the service.</w:t>
      </w:r>
    </w:p>
    <w:p>
      <w:pPr>
        <w:pStyle w:val="Heading3"/>
      </w:pPr>
      <w:r>
        <w:t>Practice 1: explain the deciding evidence</w:t>
      </w:r>
    </w:p>
    <w:p>
      <w:r>
        <w:t>Which labelled step matches this detail? A draft cites R and states 17:30; validation checks agreement before returning it.</w:t>
      </w:r>
    </w:p>
    <w:p>
      <w:r>
        <w:t>1. Retrieve R</w:t>
      </w:r>
    </w:p>
    <w:p>
      <w:r>
        <w:t>2. Draft and check</w:t>
      </w:r>
    </w:p>
    <w:p>
      <w:r>
        <w:t>3. Receive question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Draft and check A draft cites R and states 17:30; validation checks agreement before returning it. An architecture assigns responsibilities and carries data between components. Retrieval provides evidence; drafting supplies wording.</w:t>
      </w:r>
    </w:p>
    <w:p>
      <w:pPr>
        <w:pStyle w:val="Heading3"/>
      </w:pPr>
      <w:r>
        <w:t>Practice 2: explain the deciding evidence</w:t>
      </w:r>
    </w:p>
    <w:p>
      <w:r>
        <w:t>Changed-case practice: Disconnect retrieval from the application. Which conclusion is supported by the supplied facts?</w:t>
      </w:r>
    </w:p>
    <w:p>
      <w:r>
        <w:t>1. Return review status rather than inventing a time.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review status rather than inventing a time. The supported-answer path lacks its required evidence input.</w:t>
      </w:r>
    </w:p>
    <w:p>
      <w:pPr>
        <w:pStyle w:val="Heading3"/>
      </w:pPr>
      <w:r>
        <w:t>Repair a missing building block</w:t>
      </w:r>
    </w:p>
    <w:p>
      <w:r>
        <w:t>Review Requirements and service boundaries (ai-6/1). Goal: Explain the mechanism and terminology of requirements and service boundaries. Short practice: Split the museum visitor’s request into two operations. Which can the service perform for P, and what happens to each operation when Q has no approved card?.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