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w:t>
      </w:r>
    </w:p>
    <w:p>
      <w:pPr>
        <w:pStyle w:val="Title"/>
      </w:pPr>
      <w:r>
        <w:t>Typed contracts and schemas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Architecture and data flow</w:t>
      </w:r>
    </w:p>
    <w:p>
      <w:r>
        <w:t>Without opening the old lesson, explain one key idea from Architecture and data 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Typed contracts and schemas.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Typed contracts and schemas.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Classify counts 0, -1, "3", False under the stated contract.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Input room_id=B, requested_count=true passes a naive isinstance(value, int) check in Python.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Schema-valid input can still be unauthorised or semantically unsuitable; subsequent checks remain necessary.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Classify counts 0, -1, "3", False under the stated contract.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typed contracts and schemas evidence sheet to Grounded Learning Service. Show how you can explain the mechanism and terminology of typed contracts and schemas.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Typed contracts and schemas</w:t>
      </w:r>
    </w:p>
    <w:p>
      <w:r>
        <w:t>A labelled sample record. A lab tool accepts a string sample_id and an integer count of at least zero.</w:t>
      </w:r>
    </w:p>
    <w:p>
      <w:r>
        <w:t>A={sample_id:"jar-8",count:4}; B={sample_id:"jar-9",count:"4"}. No type conversion is allowed.</w:t>
      </w:r>
    </w:p>
    <w:p>
      <w:r>
        <w:drawing>
          <wp:inline xmlns:a="http://schemas.openxmlformats.org/drawingml/2006/main" xmlns:pic="http://schemas.openxmlformats.org/drawingml/2006/picture">
            <wp:extent cx="5486400" cy="5145314"/>
            <wp:docPr id="1" name="Picture 1" descr="Typed contracts and schemas. Inspect A: The fields and integer count satisfy the contract.. Inspect B: The quoted count is a string, so B fails the type check.. Return status: Accept A; reject B before running the lab operation."/>
            <wp:cNvGraphicFramePr>
              <a:graphicFrameLocks noChangeAspect="1"/>
            </wp:cNvGraphicFramePr>
            <a:graphic>
              <a:graphicData uri="http://schemas.openxmlformats.org/drawingml/2006/picture">
                <pic:pic>
                  <pic:nvPicPr>
                    <pic:cNvPr id="0" name="academy-visual-ai-6-3.png"/>
                    <pic:cNvPicPr/>
                  </pic:nvPicPr>
                  <pic:blipFill>
                    <a:blip r:embed="rId9"/>
                    <a:stretch>
                      <a:fillRect/>
                    </a:stretch>
                  </pic:blipFill>
                  <pic:spPr>
                    <a:xfrm>
                      <a:off x="0" y="0"/>
                      <a:ext cx="5486400" cy="5145314"/>
                    </a:xfrm>
                    <a:prstGeom prst="rect"/>
                  </pic:spPr>
                </pic:pic>
              </a:graphicData>
            </a:graphic>
          </wp:inline>
        </w:drawing>
      </w:r>
    </w:p>
    <w:p>
      <w:r>
        <w:t>Compare A’s count 4 with B’s count "4". Which record passes, which gate rejects B, and why does changing A’s count to -1 create a different failure?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labelled sample record. A lab tool accepts a string sample_id and an integer count of at least zero.</w:t>
      </w:r>
    </w:p>
    <w:p>
      <w:pPr>
        <w:pStyle w:val="Heading3"/>
      </w:pPr>
      <w:r>
        <w:t>Practice 1: explain the deciding evidence</w:t>
      </w:r>
    </w:p>
    <w:p>
      <w:r>
        <w:t>Which labelled step matches this detail? Accept A; reject B before running the lab operation.</w:t>
      </w:r>
    </w:p>
    <w:p>
      <w:r>
        <w:t>1. Inspect A</w:t>
      </w:r>
    </w:p>
    <w:p>
      <w:r>
        <w:t>2. Inspect B</w:t>
      </w:r>
    </w:p>
    <w:p>
      <w:r>
        <w:t>3. Return status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Return status Accept A; reject B before running the lab operation. A schema checks declared structure. Looking like a number is different from having the required numeric type.</w:t>
      </w:r>
    </w:p>
    <w:p>
      <w:pPr>
        <w:pStyle w:val="Heading3"/>
      </w:pPr>
      <w:r>
        <w:t>Practice 2: explain the deciding evidence</w:t>
      </w:r>
    </w:p>
    <w:p>
      <w:r>
        <w:t>Changed-case practice: Change A count to -1. Which conclusion is supported by the supplied facts?</w:t>
      </w:r>
    </w:p>
    <w:p>
      <w:r>
        <w:t>1. This one example guarantees correct results for every future input.</w:t>
      </w:r>
    </w:p>
    <w:p>
      <w:r>
        <w:t>2. Reject A on the non-negative value rule.</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A on the non-negative value rule. The type is correct but the value is outside its accepted range.</w:t>
      </w:r>
    </w:p>
    <w:p>
      <w:pPr>
        <w:pStyle w:val="Heading3"/>
      </w:pPr>
      <w:r>
        <w:t>Repair a missing building block</w:t>
      </w:r>
    </w:p>
    <w:p>
      <w:r>
        <w:t>Review Architecture and data flow (ai-6/2). Goal: Explain the mechanism and terminology of architecture and data flow. Short practice: Label what moves along the library request, retrieval and drafting arrows. Where does 17:30 come from, and why must the service stop if the retrieval arrow is disconnected?.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