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ai-6/4</w:t>
      </w:r>
    </w:p>
    <w:p>
      <w:pPr>
        <w:pStyle w:val="Title"/>
      </w:pPr>
      <w:r>
        <w:t>Configuration and secrets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Typed contracts and schemas</w:t>
      </w:r>
    </w:p>
    <w:p>
      <w:r>
        <w:t>Without opening the old lesson, explain one key idea from Typed contracts and schemas.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Requirements and service boundaries</w:t>
      </w:r>
    </w:p>
    <w:p>
      <w:r>
        <w:t>Without opening the old lesson, explain one key idea from Requirements and service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Configuration and secrets.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Configuration and secrets.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Server secret exists, but a browser error includes its full value. What failed and what record should be produced instead?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startup script prints every environment variable while debugging a missing data version.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classroom mock is not a production credential-management design; no real secrets are needed here.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Server secret exists, but a browser error includes its full value. What failed and what record should be produced instead?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configuration and secrets evidence sheet to Grounded Learning Service. Show how you can explain the mechanism and terminology of configuration and secrets.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Configuration and secrets</w:t>
      </w:r>
    </w:p>
    <w:p>
      <w:r>
        <w:t>Settings and a sealed credential. A classroom bot needs a public answer-length setting and a private access token.</w:t>
      </w:r>
    </w:p>
    <w:p>
      <w:r>
        <w:t>maximum_words=80 is public configuration. A separate protected store holds a placeholder credential.</w:t>
      </w:r>
    </w:p>
    <w:p>
      <w:r>
        <w:drawing>
          <wp:inline xmlns:a="http://schemas.openxmlformats.org/drawingml/2006/main" xmlns:pic="http://schemas.openxmlformats.org/drawingml/2006/picture">
            <wp:extent cx="5486400" cy="5145314"/>
            <wp:docPr id="1" name="Picture 1" descr="Configuration and secrets. Load setting: Read the reviewed maximum_words value of 80.. Load credential: The runtime obtains the token through its protected path.. Log safely: Record startup success without printing the token."/>
            <wp:cNvGraphicFramePr>
              <a:graphicFrameLocks noChangeAspect="1"/>
            </wp:cNvGraphicFramePr>
            <a:graphic>
              <a:graphicData uri="http://schemas.openxmlformats.org/drawingml/2006/picture">
                <pic:pic>
                  <pic:nvPicPr>
                    <pic:cNvPr id="0" name="academy-visual-ai-6-4.png"/>
                    <pic:cNvPicPr/>
                  </pic:nvPicPr>
                  <pic:blipFill>
                    <a:blip r:embed="rId9"/>
                    <a:stretch>
                      <a:fillRect/>
                    </a:stretch>
                  </pic:blipFill>
                  <pic:spPr>
                    <a:xfrm>
                      <a:off x="0" y="0"/>
                      <a:ext cx="5486400" cy="5145314"/>
                    </a:xfrm>
                    <a:prstGeom prst="rect"/>
                  </pic:spPr>
                </pic:pic>
              </a:graphicData>
            </a:graphic>
          </wp:inline>
        </w:drawing>
      </w:r>
    </w:p>
    <w:p>
      <w:r>
        <w:t>Point to the public setting and the protected credential. What changes when maximum_words becomes 60, and which information must never appear in the startup log?</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Frame the need. Name the user, the problem, allowed inputs and a safe simple starting method.</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Settings and a sealed credential. A classroom bot needs a public answer-length setting and a private access token.</w:t>
      </w:r>
    </w:p>
    <w:p>
      <w:pPr>
        <w:pStyle w:val="Heading3"/>
      </w:pPr>
      <w:r>
        <w:t>Practice 1: explain the deciding evidence</w:t>
      </w:r>
    </w:p>
    <w:p>
      <w:r>
        <w:t>Which labelled step matches this detail? Record startup success without printing the token.</w:t>
      </w:r>
    </w:p>
    <w:p>
      <w:r>
        <w:t>1. Load credential</w:t>
      </w:r>
    </w:p>
    <w:p>
      <w:r>
        <w:t>2. Log safely</w:t>
      </w:r>
    </w:p>
    <w:p>
      <w:r>
        <w:t>3. Load setting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Log safely Record startup success without printing the token. Configuration controls behaviour. A credential grants access and needs different storage and handling.</w:t>
      </w:r>
    </w:p>
    <w:p>
      <w:pPr>
        <w:pStyle w:val="Heading3"/>
      </w:pPr>
      <w:r>
        <w:t>Practice 2: explain the deciding evidence</w:t>
      </w:r>
    </w:p>
    <w:p>
      <w:r>
        <w:t>Changed-case practice: Change maximum_words to 60. Which conclusion is supported by the supplied facts?</w:t>
      </w:r>
    </w:p>
    <w:p>
      <w:r>
        <w:t>1. This one example guarantees correct results for every future input.</w:t>
      </w:r>
    </w:p>
    <w:p>
      <w:r>
        <w:t>2. The configured answer limit becomes 60; the private token stays unchanged.</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configured answer limit becomes 60; the private token stays unchanged. An ordinary length setting does not require replacing the credential.</w:t>
      </w:r>
    </w:p>
    <w:p>
      <w:pPr>
        <w:pStyle w:val="Heading3"/>
      </w:pPr>
      <w:r>
        <w:t>Repair a missing building block</w:t>
      </w:r>
    </w:p>
    <w:p>
      <w:r>
        <w:t>Review Typed contracts and schemas (ai-6/3). Goal: Explain the mechanism and terminology of typed contracts and schemas. Short practice: Compare A’s count 4 with B’s count "4". Which record passes, which gate rejects B, and why does changing A’s count to -1 create a different failure?. Return to this week and explain what you changed.</w:t>
      </w:r>
    </w:p>
    <w:p>
      <w:r>
        <w:t>Review Requirements and service boundaries (ai-6/1). Goal: Explain the mechanism and terminology of requirements and service boundaries. Short practice: Split the museum visitor’s request into two operations. Which can the service perform for P, and what happens to each operation when Q has no approved card?.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