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ai-6/5</w:t>
      </w:r>
    </w:p>
    <w:p>
      <w:pPr>
        <w:pStyle w:val="Title"/>
      </w:pPr>
      <w:r>
        <w:t>Authentication and authorisation</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Configuration and secrets</w:t>
      </w:r>
    </w:p>
    <w:p>
      <w:r>
        <w:t>Without opening the old lesson, explain one key idea from Configuration and secrets.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Architecture and data flow</w:t>
      </w:r>
    </w:p>
    <w:p>
      <w:r>
        <w:t>Without opening the old lesson, explain one key idea from Architecture and data flow.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Authentication and authorisation.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Authentication and authorisation.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Actor roles are none, student, teacher; target is teacher guide. Decide each under the policy.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 student session submits role=teacher in request data and asks for a guide.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Successful authentication does not grant every resource or operation.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Actor roles are none, student, teacher; target is teacher guide. Decide each under the policy.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authentication and authorisation evidence sheet to Grounded Learning Service. Show how you can explain the mechanism and terminology of authentication and authorisation.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Authentication and authorisation</w:t>
      </w:r>
    </w:p>
    <w:p>
      <w:r>
        <w:t>A verified reader cannot edit. Jo logs in as a verified museum volunteer and asks to edit card C.</w:t>
      </w:r>
    </w:p>
    <w:p>
      <w:r>
        <w:t>Trusted policy grants volunteers read access to C; only curators may edit it.</w:t>
      </w:r>
    </w:p>
    <w:p>
      <w:r>
        <w:drawing>
          <wp:inline xmlns:a="http://schemas.openxmlformats.org/drawingml/2006/main" xmlns:pic="http://schemas.openxmlformats.org/drawingml/2006/picture">
            <wp:extent cx="5486400" cy="5185229"/>
            <wp:docPr id="1" name="Picture 1" descr="Authentication and authorisation. Identify Jo: Authentication establishes Jo’s identity and volunteer role.. Check the action: Editing C requires curator authority.. Deny the edit: Keep C unchanged; the authenticated volunteer lacks this permission."/>
            <wp:cNvGraphicFramePr>
              <a:graphicFrameLocks noChangeAspect="1"/>
            </wp:cNvGraphicFramePr>
            <a:graphic>
              <a:graphicData uri="http://schemas.openxmlformats.org/drawingml/2006/picture">
                <pic:pic>
                  <pic:nvPicPr>
                    <pic:cNvPr id="0" name="academy-visual-ai-6-5.png"/>
                    <pic:cNvPicPr/>
                  </pic:nvPicPr>
                  <pic:blipFill>
                    <a:blip r:embed="rId9"/>
                    <a:stretch>
                      <a:fillRect/>
                    </a:stretch>
                  </pic:blipFill>
                  <pic:spPr>
                    <a:xfrm>
                      <a:off x="0" y="0"/>
                      <a:ext cx="5486400" cy="5185229"/>
                    </a:xfrm>
                    <a:prstGeom prst="rect"/>
                  </pic:spPr>
                </pic:pic>
              </a:graphicData>
            </a:graphic>
          </wp:inline>
        </w:drawing>
      </w:r>
    </w:p>
    <w:p>
      <w:r>
        <w:t>Explain why Jo’s valid volunteer login does not permit editing C. Which trusted role change allows the action, and why is a role written in the request insufficient?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Frame the need. Name the user, the problem, allowed inputs and a safe simple starting method.</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A verified reader cannot edit. Jo logs in as a verified museum volunteer and asks to edit card C.</w:t>
      </w:r>
    </w:p>
    <w:p>
      <w:pPr>
        <w:pStyle w:val="Heading3"/>
      </w:pPr>
      <w:r>
        <w:t>Practice 1: explain the deciding evidence</w:t>
      </w:r>
    </w:p>
    <w:p>
      <w:r>
        <w:t>Which labelled step matches this detail? Keep C unchanged; the authenticated volunteer lacks this permission.</w:t>
      </w:r>
    </w:p>
    <w:p>
      <w:r>
        <w:t>1. Check the action</w:t>
      </w:r>
    </w:p>
    <w:p>
      <w:r>
        <w:t>2. Deny the edit</w:t>
      </w:r>
    </w:p>
    <w:p>
      <w:r>
        <w:t>3. Identify Jo</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Deny the edit Keep C unchanged; the authenticated volunteer lacks this permission. Authentication establishes identity. Authorisation compares that identity with the requested action and resource.</w:t>
      </w:r>
    </w:p>
    <w:p>
      <w:pPr>
        <w:pStyle w:val="Heading3"/>
      </w:pPr>
      <w:r>
        <w:t>Practice 2: explain the deciding evidence</w:t>
      </w:r>
    </w:p>
    <w:p>
      <w:r>
        <w:t>Changed-case practice: Use a verified curator permitted to edit C. Which conclusion is supported by the supplied facts?</w:t>
      </w:r>
    </w:p>
    <w:p>
      <w:r>
        <w:t>1. We can decide the result without examining the changed input or the procedure.</w:t>
      </w:r>
    </w:p>
    <w:p>
      <w:r>
        <w:t>2. This one example guarantees correct results for every future input.</w:t>
      </w:r>
    </w:p>
    <w:p>
      <w:r>
        <w:t>3. The authorisation gate allows the edit, subject to other declared checks.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authorisation gate allows the edit, subject to other declared checks. The trusted role now matches this operation and object.</w:t>
      </w:r>
    </w:p>
    <w:p>
      <w:pPr>
        <w:pStyle w:val="Heading3"/>
      </w:pPr>
      <w:r>
        <w:t>Repair a missing building block</w:t>
      </w:r>
    </w:p>
    <w:p>
      <w:r>
        <w:t>Review Configuration and secrets (ai-6/4). Goal: Explain the mechanism and terminology of configuration and secrets. Short practice: Point to the public setting and the protected credential. What changes when maximum_words becomes 60, and which information must never appear in the startup log?. Return to this week and explain what you changed.</w:t>
      </w:r>
    </w:p>
    <w:p>
      <w:r>
        <w:t>Review Architecture and data flow (ai-6/2). Goal: Explain the mechanism and terminology of architecture and data flow. Short practice: Label what moves along the library request, retrieval and drafting arrows. Where does 17:30 come from, and why must the service stop if the retrieval arrow is disconnected?.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