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ai-6/14</w:t>
      </w:r>
    </w:p>
    <w:p>
      <w:pPr>
        <w:pStyle w:val="Title"/>
      </w:pPr>
      <w:r>
        <w:t>Planning and action selection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State machines for bounded agents</w:t>
      </w:r>
    </w:p>
    <w:p>
      <w:r>
        <w:t>Without opening the old lesson, explain one key idea from State machines for bounded agents.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Failure budgets and service objectives</w:t>
      </w:r>
    </w:p>
    <w:p>
      <w:r>
        <w:t>Without opening the old lesson, explain one key idea from Failure budgets and service objectives.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model-dependent behaviour</w:t>
      </w:r>
    </w:p>
    <w:p>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Planning and action selection.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Planning and action selection.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Plan validates input then sends a message before checking recipient approval. The task authorises drafting only. Locate violation.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Generated plan retrieves a room, books it and then answers. It calls booking necessary for helpfulness.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plausible plan is not an approval or proof that its prerequisites hold.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Plan validates input then sends a message before checking recipient approval. The task authorises drafting only. Locate violation.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planning and action selection evidence sheet to Grounded Learning Service. Show how you can explain the mechanism and terminology of planning and action selection.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Planning and action selection</w:t>
      </w:r>
    </w:p>
    <w:p>
      <w:r>
        <w:t>Plan around missing evidence. A bot must answer a tower-height question using approved cards only.</w:t>
      </w:r>
    </w:p>
    <w:p>
      <w:r>
        <w:t>Search finds no height card. Allowed actions: search, clarify, return unsupported. Unapproved web access is excluded.</w:t>
      </w:r>
    </w:p>
    <w:p>
      <w:r>
        <w:drawing>
          <wp:inline xmlns:a="http://schemas.openxmlformats.org/drawingml/2006/main" xmlns:pic="http://schemas.openxmlformats.org/drawingml/2006/picture">
            <wp:extent cx="5486400" cy="5261429"/>
            <wp:docPr id="1" name="Picture 1"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9"/>
                    <a:stretch>
                      <a:fillRect/>
                    </a:stretch>
                  </pic:blipFill>
                  <pic:spPr>
                    <a:xfrm>
                      <a:off x="0" y="0"/>
                      <a:ext cx="5486400" cy="5261429"/>
                    </a:xfrm>
                    <a:prstGeom prst="rect"/>
                  </pic:spPr>
                </pic:pic>
              </a:graphicData>
            </a:graphic>
          </wp:inline>
        </w:drawing>
      </w:r>
    </w:p>
    <w:p>
      <w:r>
        <w:t>Choose a permitted plan when no approved tower-height card exists. What new answer becomes supported after a card records 24 metres, and why could the bot not invent it earlier?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Test changed cases. Keep normal, boundary and failure cases; compare expected and observed results.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Plan around missing evidence. A bot must answer a tower-height question using approved cards only.</w:t>
      </w:r>
    </w:p>
    <w:p>
      <w:pPr>
        <w:pStyle w:val="Heading3"/>
      </w:pPr>
      <w:r>
        <w:t>Practice 1: explain the deciding evidence</w:t>
      </w:r>
    </w:p>
    <w:p>
      <w:r>
        <w:t>Which labelled step matches this detail? Ask for an approved source card if the question should be answered.</w:t>
      </w:r>
    </w:p>
    <w:p>
      <w:r>
        <w:t>1. Select allowed action</w:t>
      </w:r>
    </w:p>
    <w:p>
      <w:r>
        <w:t>2. Explain next step</w:t>
      </w:r>
    </w:p>
    <w:p>
      <w:r>
        <w:t>3. Name missing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Explain next step Ask for an approved source card if the question should be answered. Planning selects useful actions within available evidence and authority. More steps cannot create permission to access an excluded source.</w:t>
      </w:r>
    </w:p>
    <w:p>
      <w:pPr>
        <w:pStyle w:val="Heading3"/>
      </w:pPr>
      <w:r>
        <w:t>Practice 2: explain the deciding evidence</w:t>
      </w:r>
    </w:p>
    <w:p>
      <w:r>
        <w:t>Changed-case practice: Supply an approved card giving height 24 metres. Which conclusion is supported by the supplied facts?</w:t>
      </w:r>
    </w:p>
    <w:p>
      <w:r>
        <w:t>1. We can decide the result without examining the changed input or the procedure.</w:t>
      </w:r>
    </w:p>
    <w:p>
      <w:r>
        <w:t>2. This one example guarantees correct results for every future input.</w:t>
      </w:r>
    </w:p>
    <w:p>
      <w:r>
        <w:t>3. The bot can retrieve it and answer 24 metres with attribution.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bot can retrieve it and answer 24 metres with attribution. The missing factual input is now available within the allowed collection.</w:t>
      </w:r>
    </w:p>
    <w:p>
      <w:pPr>
        <w:pStyle w:val="Heading3"/>
      </w:pPr>
      <w:r>
        <w:t>Repair a missing building block</w:t>
      </w:r>
    </w:p>
    <w:p>
      <w:r>
        <w:t>Review State machines for bounded agents (ai-6/13). Goal: Explain the mechanism and terminology of state machines for bounded agents. Short practice: Trace A and B through the state diagram. Name B’s forbidden transition and explain whether adding checking→querying permits that shortcut.. Return to this week and explain what you changed.</w:t>
      </w:r>
    </w:p>
    <w:p>
      <w:r>
        <w:t>Review Failure budgets and service objectives (ai-6/11). Goal: Explain the mechanism and terminology of failure budgets and service objectives. Short practice: Calculate the maximum allowed failures among 100 requests. Does 97 successes and 3 failures meet the target, and what changes after one failure becomes a success?. Return to this week and explain what you changed.</w:t>
      </w:r>
    </w:p>
    <w:p>
      <w:r>
        <w:t>Review Testing model-dependent behaviour (ai-6/8). Goal: Explain the mechanism and terminology of testing model-dependent behaviour. Short practice: Score "Friday in room B" and "Friday in room D" against both mandatory criteria. Would a correct 25-word response pass, and why?.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