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ai-6/18</w:t>
      </w:r>
    </w:p>
    <w:p>
      <w:pPr>
        <w:pStyle w:val="Title"/>
      </w:pPr>
      <w:r>
        <w:t>Untrusted input boundaries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Untrusted input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Inputs A1 and delete_all() are supplied to room lookup.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format check does not grant resource access; authorisation follows separately.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Classify B2, b2, B22 and B2; DROP under the exact format.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Untrusted input boundaries</w:t>
      </w:r>
    </w:p>
    <w:p>
      <w:r>
        <w:t>Check shape before permission. A toy tool accepts exactly one ASCII lowercase letter followed by one digit, with no trimming.</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r>
        <w:t>Classify h3, H3, h30 and the trailing-space input by the stated shape contract. Does a valid z0 grant record access, and which separate gate still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Check shape before permission. A toy tool accepts exactly one ASCII lowercase letter followed by one digit, with no trimming.</w:t>
      </w:r>
    </w:p>
    <w:p>
      <w:pPr>
        <w:pStyle w:val="Heading3"/>
      </w:pPr>
      <w:r>
        <w:t>Practice 1: explain the deciding evidence</w:t>
      </w:r>
    </w:p>
    <w:p>
      <w:r>
        <w:t>Which labelled step matches this detail? An accepted identifier still needs trusted authorisation.</w:t>
      </w:r>
    </w:p>
    <w:p>
      <w:r>
        <w:t>1. Reject wrong shapes</w:t>
      </w:r>
    </w:p>
    <w:p>
      <w:r>
        <w:t>2. Check authority next</w:t>
      </w:r>
    </w:p>
    <w:p>
      <w:r>
        <w:t>3. Validate h3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authority next An accepted identifier still needs trusted authorisation. Input shape and permission answer different questions. Silently normalising these inputs would change the stated contract.</w:t>
      </w:r>
    </w:p>
    <w:p>
      <w:pPr>
        <w:pStyle w:val="Heading3"/>
      </w:pPr>
      <w:r>
        <w:t>Practice 2: explain the deciding evidence</w:t>
      </w:r>
    </w:p>
    <w:p>
      <w:r>
        <w:t>Changed-case practice: Replace h3 with z0. Which conclusion is supported by the supplied facts?</w:t>
      </w:r>
    </w:p>
    <w:p>
      <w:r>
        <w:t>1. We can decide the result without examining the changed input or the procedure.</w:t>
      </w:r>
    </w:p>
    <w:p>
      <w:r>
        <w:t>2. The shape passes; resource access is still undecided.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shape passes; resource access is still undecided. Structure contains no evidence of ownership or user permission.</w:t>
      </w:r>
    </w:p>
    <w:p>
      <w:pPr>
        <w:pStyle w:val="Heading3"/>
      </w:pPr>
      <w:r>
        <w:t>Repair a missing building block</w:t>
      </w:r>
    </w:p>
    <w:p>
      <w:r>
        <w:t>Review External side effects and recovery (ai-6/17). Goal: Explain the mechanism and terminology of external side effects and recovery. Short practice: Distinguish a missing printer acknowledgement from confirmed failure. What should happen if J6 is complete, and what evidence changes when J6 is reliably reported absent?. Return to this week and explain what you changed.</w:t>
      </w:r>
    </w:p>
    <w:p>
      <w:r>
        <w:t>Review Approval gates and idempotency (ai-6/15). Goal: Explain the mechanism and terminology of approval gates and idempotency. Short practice: Trace the two deliveries of approved K9. How many reservations should occur, and why can a new K10 for desk 5 not borrow K9’s approval?. Return to this week and explain what you changed.</w:t>
      </w:r>
    </w:p>
    <w:p>
      <w:r>
        <w:t>Review Logs traces and privacy (ai-6/12). Goal: Explain the mechanism and terminology of logs traces and privacy. Short practice: Identify the purpose of R17, C8 and 240 ms in the trace. Which field is deliberately omitted, and why would logging the whole question violate this design?.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