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ai-6/21</w:t>
      </w:r>
    </w:p>
    <w:p>
      <w:pPr>
        <w:pStyle w:val="Title"/>
      </w:pPr>
      <w:r>
        <w:t>Caching and stale information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Data retention and deletion</w:t>
      </w:r>
    </w:p>
    <w:p>
      <w:r>
        <w:t>Without opening the old lesson, explain one key idea from Data retention and deletion.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Untrusted input boundaries</w:t>
      </w:r>
    </w:p>
    <w:p>
      <w:r>
        <w:t>Without opening the old lesson, explain one key idea from Untrusted input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Approval gates and idempotency</w:t>
      </w:r>
    </w:p>
    <w:p>
      <w:r>
        <w:t>Without opening the old lesson, explain one key idea from Approval gates and idempotency.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Caching and stale information.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Caching and stale information.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TTL10 minutes; ages9, 10, 11. Corpus version changes at age9. Decide validity.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Teacher response is cached by query only and returned to a student.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cached result retains the limitations of its original evidence and can become stale independently of TTL.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TTL10 minutes; ages9, 10, 11. Corpus version changes at age9. Decide validity.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caching and stale information evidence sheet to Grounded Learning Service. Show how you can explain the mechanism and terminology of caching and stale information.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Caching and stale information</w:t>
      </w:r>
    </w:p>
    <w:p>
      <w:r>
        <w:t>Cache by source version. A service has an opening-time answer cached from version 4, but version 5 is now approved.</w:t>
      </w:r>
    </w:p>
    <w:p>
      <w:r>
        <w:t>Version 4 says 09:00; version 5 says 09:30. Cache key contains room and source version.</w:t>
      </w:r>
    </w:p>
    <w:p>
      <w:r>
        <w:drawing>
          <wp:inline xmlns:a="http://schemas.openxmlformats.org/drawingml/2006/main" xmlns:pic="http://schemas.openxmlformats.org/drawingml/2006/picture">
            <wp:extent cx="5486400" cy="5145314"/>
            <wp:docPr id="1" name="Picture 1" descr="Caching and stale information. Read authority: The current approved source version is 5.. Inspect cached key: The 09:00 entry belongs to version 4.. Fetch current evidence: Retrieve and cache version 5’s 09:30 under its own key."/>
            <wp:cNvGraphicFramePr>
              <a:graphicFrameLocks noChangeAspect="1"/>
            </wp:cNvGraphicFramePr>
            <a:graphic>
              <a:graphicData uri="http://schemas.openxmlformats.org/drawingml/2006/picture">
                <pic:pic>
                  <pic:nvPicPr>
                    <pic:cNvPr id="0" name="academy-visual-ai-6-21.png"/>
                    <pic:cNvPicPr/>
                  </pic:nvPicPr>
                  <pic:blipFill>
                    <a:blip r:embed="rId9"/>
                    <a:stretch>
                      <a:fillRect/>
                    </a:stretch>
                  </pic:blipFill>
                  <pic:spPr>
                    <a:xfrm>
                      <a:off x="0" y="0"/>
                      <a:ext cx="5486400" cy="5145314"/>
                    </a:xfrm>
                    <a:prstGeom prst="rect"/>
                  </pic:spPr>
                </pic:pic>
              </a:graphicData>
            </a:graphic>
          </wp:inline>
        </w:drawing>
      </w:r>
    </w:p>
    <w:p>
      <w:r>
        <w:t>Identify the version mismatch in the cached 09:00 answer. What should the first version-5 request return, and what permits a later version-5 cache hit?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Evaluate and revise. Compare with your starting method, explain errors and record a justified revision.</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Cache by source version. A service has an opening-time answer cached from version 4, but version 5 is now approved.</w:t>
      </w:r>
    </w:p>
    <w:p>
      <w:pPr>
        <w:pStyle w:val="Heading3"/>
      </w:pPr>
      <w:r>
        <w:t>Practice 1: explain the deciding evidence</w:t>
      </w:r>
    </w:p>
    <w:p>
      <w:r>
        <w:t>Which labelled step matches this detail? Retrieve and cache version 5’s 09:30 under its own key.</w:t>
      </w:r>
    </w:p>
    <w:p>
      <w:r>
        <w:t>1. Read authority</w:t>
      </w:r>
    </w:p>
    <w:p>
      <w:r>
        <w:t>2. Fetch current evidence</w:t>
      </w:r>
    </w:p>
    <w:p>
      <w:r>
        <w:t>3. Inspect cached key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Fetch current evidence Retrieve and cache version 5’s 09:30 under its own key. A cache saves repeated work but can retain obsolete facts. Version-aware keys distinguish answers grounded in different records.</w:t>
      </w:r>
    </w:p>
    <w:p>
      <w:pPr>
        <w:pStyle w:val="Heading3"/>
      </w:pPr>
      <w:r>
        <w:t>Practice 2: explain the deciding evidence</w:t>
      </w:r>
    </w:p>
    <w:p>
      <w:r>
        <w:t>Changed-case practice: The next request still uses approved version 5. Which conclusion is supported by the supplied facts?</w:t>
      </w:r>
    </w:p>
    <w:p>
      <w:r>
        <w:t>1. The matching version-5 entry can supply 09:30 under the freshness policy.</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matching version-5 entry can supply 09:30 under the freshness policy. Request and cached source version now agree.</w:t>
      </w:r>
    </w:p>
    <w:p>
      <w:pPr>
        <w:pStyle w:val="Heading3"/>
      </w:pPr>
      <w:r>
        <w:t>Repair a missing building block</w:t>
      </w:r>
    </w:p>
    <w:p>
      <w:r>
        <w:t>Review Data retention and deletion (ai-6/20). Goal: Explain the mechanism and terminology of data retention and deletion. Short practice: Apply the seven-day boundary to T1 and T2. How many T2 locations need verification, and may deletion be called complete if its backup remains?. Return to this week and explain what you changed.</w:t>
      </w:r>
    </w:p>
    <w:p>
      <w:r>
        <w:t>Review Untrusted input boundaries (ai-6/18). Goal: Explain the mechanism and terminology of untrusted input boundaries. Short practice: Classify h3, H3, h30 and the trailing-space input by the stated shape contract. Does a valid z0 grant record access, and which separate gate still remains?. Return to this week and explain what you changed.</w:t>
      </w:r>
    </w:p>
    <w:p>
      <w:r>
        <w:t>Review Approval gates and idempotency (ai-6/15). Goal: Explain the mechanism and terminology of approval gates and idempotency. Short practice: Trace the two deliveries of approved K9. How many reservations should occur, and why can a new K10 for desk 5 not borrow K9’s approval?.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