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ai-6/23</w:t>
      </w:r>
    </w:p>
    <w:p>
      <w:pPr>
        <w:pStyle w:val="Title"/>
      </w:pPr>
      <w:r>
        <w:t>Deployment environments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Queues and asynchronous work</w:t>
      </w:r>
    </w:p>
    <w:p>
      <w:r>
        <w:t>Without opening the old lesson, explain one key idea from Queues and asynchronous 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 retention and deletion</w:t>
      </w:r>
    </w:p>
    <w:p>
      <w:r>
        <w:t>Without opening the old lesson, explain one key idea from Data retention and deletion.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External side effects and recovery</w:t>
      </w:r>
    </w:p>
    <w:p>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Deployment environments.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Deployment environments.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Development uses fake records but a production token. What boundary is violated?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Staging configuration points to production storage while the interface displays staging.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Passing staging tests does not prove production limits or operational conditions are identical.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Development uses fake records but a production token. What boundary is violated?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deployment environments evidence sheet to Grounded Learning Service. Show how you can explain the mechanism and terminology of deployment environments.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Deployment environments</w:t>
      </w:r>
    </w:p>
    <w:p>
      <w:r>
        <w:t>Separate rehearsal and live service. Staging rehearses a new answer version with fictional records; production serves approved school records.</w:t>
      </w:r>
    </w:p>
    <w:p>
      <w:r>
        <w:t>Staging card names trial room Z; production card names room A. Credentials and stores are separate.</w:t>
      </w:r>
    </w:p>
    <w:p>
      <w:r>
        <w:drawing>
          <wp:inline xmlns:a="http://schemas.openxmlformats.org/drawingml/2006/main" xmlns:pic="http://schemas.openxmlformats.org/drawingml/2006/picture">
            <wp:extent cx="5486400" cy="5185229"/>
            <wp:docPr id="1" name="Picture 1"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9"/>
                    <a:stretch>
                      <a:fillRect/>
                    </a:stretch>
                  </pic:blipFill>
                  <pic:spPr>
                    <a:xfrm>
                      <a:off x="0" y="0"/>
                      <a:ext cx="5486400" cy="5185229"/>
                    </a:xfrm>
                    <a:prstGeom prst="rect"/>
                  </pic:spPr>
                </pic:pic>
              </a:graphicData>
            </a:graphic>
          </wp:inline>
        </w:drawing>
      </w:r>
    </w:p>
    <w:p>
      <w:r>
        <w:t>Identify the staging data and credential boundary. Why must the rehearsal stop if its credential reaches production even though the process is labelled staging?</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Evaluate and revise. Compare with your starting method, explain errors and record a justified revision.</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Separate rehearsal and live service. Staging rehearses a new answer version with fictional records; production serves approved school records.</w:t>
      </w:r>
    </w:p>
    <w:p>
      <w:pPr>
        <w:pStyle w:val="Heading3"/>
      </w:pPr>
      <w:r>
        <w:t>Practice 1: explain the deciding evidence</w:t>
      </w:r>
    </w:p>
    <w:p>
      <w:r>
        <w:t>Which labelled step matches this detail? A passing rehearsal supports release review, not automatic promotion.</w:t>
      </w:r>
    </w:p>
    <w:p>
      <w:r>
        <w:t>1. Use staging data</w:t>
      </w:r>
    </w:p>
    <w:p>
      <w:r>
        <w:t>2. Check actual connection</w:t>
      </w:r>
    </w:p>
    <w:p>
      <w:r>
        <w:t>3. Review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Review evidence A passing rehearsal supports release review, not automatic promotion. An environment includes code, configuration, permissions and data. A staging label alone cannot create separation.</w:t>
      </w:r>
    </w:p>
    <w:p>
      <w:pPr>
        <w:pStyle w:val="Heading3"/>
      </w:pPr>
      <w:r>
        <w:t>Practice 2: explain the deciding evidence</w:t>
      </w:r>
    </w:p>
    <w:p>
      <w:r>
        <w:t>Changed-case practice: Point staging at the production credential. Which conclusion is supported by the supplied facts?</w:t>
      </w:r>
    </w:p>
    <w:p>
      <w:r>
        <w:t>1. This one example guarantees correct results for every future input.</w:t>
      </w:r>
    </w:p>
    <w:p>
      <w:r>
        <w:t>2. We can decide the result without examining the changed input or the procedure.</w:t>
      </w:r>
    </w:p>
    <w:p>
      <w:r>
        <w:t>3. Stop the rehearsal because its separation boundary is breached.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Stop the rehearsal because its separation boundary is breached. Actual access matters more than the environment label.</w:t>
      </w:r>
    </w:p>
    <w:p>
      <w:pPr>
        <w:pStyle w:val="Heading3"/>
      </w:pPr>
      <w:r>
        <w:t>Repair a missing building block</w:t>
      </w:r>
    </w:p>
    <w:p>
      <w:r>
        <w:t>Review Queues and asynchronous work (ai-6/22). Goal: Explain the mechanism and terminology of queues and asynchronous work. Short practice: Explain what the queued J12 submission response proves and what it does not. Which event permits succeeded status, and what status is honest after a worker crash?. Return to this week and explain what you changed.</w:t>
      </w:r>
    </w:p>
    <w:p>
      <w:r>
        <w:t>Review Data retention and deletion (ai-6/20). Goal: Explain the mechanism and terminology of data retention and deletion. Short practice: Apply the seven-day boundary to T1 and T2. How many T2 locations need verification, and may deletion be called complete if its backup remains?. Return to this week and explain what you changed.</w:t>
      </w:r>
    </w:p>
    <w:p>
      <w:r>
        <w:t>Review External side effects and recovery (ai-6/17). Goal: Explain the mechanism and terminology of external side effects and recovery. Short practice: Distinguish a missing printer acknowledgement from confirmed failure. What should happen if J6 is complete, and what evidence changes when J6 is reliably reported absent?.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