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ai-6/28</w:t>
      </w:r>
    </w:p>
    <w:p>
      <w:pPr>
        <w:pStyle w:val="Title"/>
      </w:pPr>
      <w:r>
        <w:t>Accessibility and user feedback</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Human escalation workflows</w:t>
      </w:r>
    </w:p>
    <w:p>
      <w:r>
        <w:t>Without opening the old lesson, explain one key idea from Human escalation workflows.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Monitoring quality drift</w:t>
      </w:r>
    </w:p>
    <w:p>
      <w:r>
        <w:t>Without opening the old lesson, explain one key idea from Monitoring quality drift.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Queues and asynchronous work</w:t>
      </w:r>
    </w:p>
    <w:p>
      <w:r>
        <w:t>Without opening the old lesson, explain one key idea from Queues and asynchronous work.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Accessibility and user feedback.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Accessibility and user feedback.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Submit is mouse-only; timeout replaces the entire form and loses input. Propose two concrete improvements.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An invalid room is marked only by a red border; no text error or associated label is provided.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Accessibility requirements need real interaction checks and appropriate user feedback; a checklist alone is incomplete.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Submit is mouse-only; timeout replaces the entire form and loses input. Propose two concrete improvements.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accessibility and user feedback evidence sheet to Grounded Learning Service. Show how you can explain the mechanism and terminology of accessibility and user feedback.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Accessibility and user feedback</w:t>
      </w:r>
    </w:p>
    <w:p>
      <w:r>
        <w:t>Make feedback accessible. An app marks an incomplete answer with a red circle only; a revision adds equivalent text and keyboard access.</w:t>
      </w:r>
    </w:p>
    <w:p>
      <w:r>
        <w:t>New text: "More explanation needed". The next-action link is labelled and focusable; status is exposed to assistive technology.</w:t>
      </w:r>
    </w:p>
    <w:p>
      <w:r>
        <w:drawing>
          <wp:inline xmlns:a="http://schemas.openxmlformats.org/drawingml/2006/main" xmlns:pic="http://schemas.openxmlformats.org/drawingml/2006/picture">
            <wp:extent cx="5486400" cy="5185229"/>
            <wp:docPr id="1" name="Picture 1" descr="Accessibility and user feedback. Find the barrier: Colour alone may not communicate the status to every learner.. Provide meaning: Text and programmatic status explain the same result.. Test next action: A keyboard user can reach the labelled explanation link."/>
            <wp:cNvGraphicFramePr>
              <a:graphicFrameLocks noChangeAspect="1"/>
            </wp:cNvGraphicFramePr>
            <a:graphic>
              <a:graphicData uri="http://schemas.openxmlformats.org/drawingml/2006/picture">
                <pic:pic>
                  <pic:nvPicPr>
                    <pic:cNvPr id="0" name="academy-visual-ai-6-28.png"/>
                    <pic:cNvPicPr/>
                  </pic:nvPicPr>
                  <pic:blipFill>
                    <a:blip r:embed="rId9"/>
                    <a:stretch>
                      <a:fillRect/>
                    </a:stretch>
                  </pic:blipFill>
                  <pic:spPr>
                    <a:xfrm>
                      <a:off x="0" y="0"/>
                      <a:ext cx="5486400" cy="5185229"/>
                    </a:xfrm>
                    <a:prstGeom prst="rect"/>
                  </pic:spPr>
                </pic:pic>
              </a:graphicData>
            </a:graphic>
          </wp:inline>
        </w:drawing>
      </w:r>
    </w:p>
    <w:p>
      <w:r>
        <w:t>Explain what each text, keyboard and assistive-technology change adds to the feedback. Why does changing the red circle to orange alone not solve the communication barrier?</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Prepare the demonstration. Gather reproducible instructions, evidence, access checks and remaining limitations.</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Make feedback accessible. An app marks an incomplete answer with a red circle only; a revision adds equivalent text and keyboard access.</w:t>
      </w:r>
    </w:p>
    <w:p>
      <w:pPr>
        <w:pStyle w:val="Heading3"/>
      </w:pPr>
      <w:r>
        <w:t>Practice 1: explain the deciding evidence</w:t>
      </w:r>
    </w:p>
    <w:p>
      <w:r>
        <w:t>Which labelled step matches this detail? A keyboard user can reach the labelled explanation link.</w:t>
      </w:r>
    </w:p>
    <w:p>
      <w:r>
        <w:t>1. Provide meaning</w:t>
      </w:r>
    </w:p>
    <w:p>
      <w:r>
        <w:t>2. Find the barrier</w:t>
      </w:r>
    </w:p>
    <w:p>
      <w:r>
        <w:t>3. Test next action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Test next action A keyboard user can reach the labelled explanation link. Accessibility offers the same meaning and actions through usable channels. Feedback should say what to improve, not merely show a mark.</w:t>
      </w:r>
    </w:p>
    <w:p>
      <w:pPr>
        <w:pStyle w:val="Heading3"/>
      </w:pPr>
      <w:r>
        <w:t>Practice 2: explain the deciding evidence</w:t>
      </w:r>
    </w:p>
    <w:p>
      <w:r>
        <w:t>Changed-case practice: Change the circle to orange without labels. Which conclusion is supported by the supplied facts?</w:t>
      </w:r>
    </w:p>
    <w:p>
      <w:r>
        <w:t>1. This one example guarantees correct results for every future input.</w:t>
      </w:r>
    </w:p>
    <w:p>
      <w:r>
        <w:t>2. The colour-only communication barrier remains.</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colour-only communication barrier remains. A different hue supplies no textual or programmatic equivalent.</w:t>
      </w:r>
    </w:p>
    <w:p>
      <w:pPr>
        <w:pStyle w:val="Heading3"/>
      </w:pPr>
      <w:r>
        <w:t>Repair a missing building block</w:t>
      </w:r>
    </w:p>
    <w:p>
      <w:r>
        <w:t>Review Human escalation workflows (ai-6/27). Goal: Explain the mechanism and terminology of human escalation workflows. Short practice: Identify the exact service boundary in the bottle question. What accurate information belongs in the supervisor handoff, and what remains unresolved if nobody is reachable?. Return to this week and explain what you changed.</w:t>
      </w:r>
    </w:p>
    <w:p>
      <w:r>
        <w:t>Review Monitoring quality drift (ai-6/25). Goal: Explain the mechanism and terminology of monitoring quality drift. Short practice: Compute both clear and ambiguous slice rates for A and B. Which slice weakens, and how should that slice be reported when no ambiguous questions are observed?. Return to this week and explain what you changed.</w:t>
      </w:r>
    </w:p>
    <w:p>
      <w:r>
        <w:t>Review Queues and asynchronous work (ai-6/22). Goal: Explain the mechanism and terminology of queues and asynchronous work. Short practice: Explain what the queued J12 submission response proves and what it does not. Which event permits succeeded status, and what status is honest after a worker crash?.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