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ai-6/30</w:t>
      </w:r>
    </w:p>
    <w:p>
      <w:pPr>
        <w:pStyle w:val="Title"/>
      </w:pPr>
      <w:r>
        <w:t>Security and privacy review</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Performance and cost experiments</w:t>
      </w:r>
    </w:p>
    <w:p>
      <w:r>
        <w:t>Without opening the old lesson, explain one key idea from Performance and cost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Human escalation workflows</w:t>
      </w:r>
    </w:p>
    <w:p>
      <w:r>
        <w:t>Without opening the old lesson, explain one key idea from Human escalation workflows.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Release and rollback</w:t>
      </w:r>
    </w:p>
    <w:p>
      <w:r>
        <w:t>Without opening the old lesson, explain one key idea from Release and rollback.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Security and privacy review.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Security and privacy review.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Service blocks direct teacher lookup but diagnostic export includes full teacher answers. Identify defect and a test.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Output denies teacher guide, but cache contains it under a student-accessible key.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Review findings are bounded by tested paths and threat assumptions, not a proof of complete security.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Service blocks direct teacher lookup but diagnostic export includes full teacher answers. Identify defect and a test.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security and privacy review evidence sheet to Grounded Learning Service. Show how you can explain the mechanism and terminology of security and privacy review.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Security and privacy review</w:t>
      </w:r>
    </w:p>
    <w:p>
      <w:r>
        <w:t>Review a private note’s path. A revision service reads a learner’s private practice note; analytics need counts only.</w:t>
      </w:r>
    </w:p>
    <w:p>
      <w:r>
        <w:t>Only the learner and assigned teacher may read note text. The dashboard is authorised for aggregate counts, not notes.</w:t>
      </w:r>
    </w:p>
    <w:p>
      <w:r>
        <w:drawing>
          <wp:inline xmlns:a="http://schemas.openxmlformats.org/drawingml/2006/main" xmlns:pic="http://schemas.openxmlformats.org/drawingml/2006/picture">
            <wp:extent cx="5486400" cy="5145314"/>
            <wp:docPr id="1" name="Picture 1" descr="Security and privacy review. Map content path: The authorised revision service receives the note.. Check readers: The stated learner and teacher can retrieve its text.. Minimise analytics: Send revision counts without copying private notes."/>
            <wp:cNvGraphicFramePr>
              <a:graphicFrameLocks noChangeAspect="1"/>
            </wp:cNvGraphicFramePr>
            <a:graphic>
              <a:graphicData uri="http://schemas.openxmlformats.org/drawingml/2006/picture">
                <pic:pic>
                  <pic:nvPicPr>
                    <pic:cNvPr id="0" name="academy-visual-ai-6-30.png"/>
                    <pic:cNvPicPr/>
                  </pic:nvPicPr>
                  <pic:blipFill>
                    <a:blip r:embed="rId9"/>
                    <a:stretch>
                      <a:fillRect/>
                    </a:stretch>
                  </pic:blipFill>
                  <pic:spPr>
                    <a:xfrm>
                      <a:off x="0" y="0"/>
                      <a:ext cx="5486400" cy="5145314"/>
                    </a:xfrm>
                    <a:prstGeom prst="rect"/>
                  </pic:spPr>
                </pic:pic>
              </a:graphicData>
            </a:graphic>
          </wp:inline>
        </w:drawing>
      </w:r>
    </w:p>
    <w:p>
      <w:r>
        <w:t>Trace private note content and analytics counts to their permitted readers. Why is storing full notes in the dashboard outside this design, and what risk can remain for tiny-group counts?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Prepare the demonstration. Gather reproducible instructions, evidence, access checks and remaining limitations.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Review a private note’s path. A revision service reads a learner’s private practice note; analytics need counts only.</w:t>
      </w:r>
    </w:p>
    <w:p>
      <w:pPr>
        <w:pStyle w:val="Heading3"/>
      </w:pPr>
      <w:r>
        <w:t>Practice 1: explain the deciding evidence</w:t>
      </w:r>
    </w:p>
    <w:p>
      <w:r>
        <w:t>Which labelled step matches this detail? Send revision counts without copying private notes.</w:t>
      </w:r>
    </w:p>
    <w:p>
      <w:r>
        <w:t>1. Map content path</w:t>
      </w:r>
    </w:p>
    <w:p>
      <w:r>
        <w:t>2. Check readers</w:t>
      </w:r>
    </w:p>
    <w:p>
      <w:r>
        <w:t>3. Minimise analytics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Minimise analytics Send revision counts without copying private notes. A privacy review follows data and authority through components. A useful dashboard does not automatically need every underlying private detail.</w:t>
      </w:r>
    </w:p>
    <w:p>
      <w:pPr>
        <w:pStyle w:val="Heading3"/>
      </w:pPr>
      <w:r>
        <w:t>Practice 2: explain the deciding evidence</w:t>
      </w:r>
    </w:p>
    <w:p>
      <w:r>
        <w:t>Changed-case practice: The dashboard starts storing full notes. Which conclusion is supported by the supplied facts?</w:t>
      </w:r>
    </w:p>
    <w:p>
      <w:r>
        <w:t>1. This one example guarantees correct results for every future input.</w:t>
      </w:r>
    </w:p>
    <w:p>
      <w:r>
        <w:t>2. Flag the unapproved content path and remove it from the design.</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Flag the unapproved content path and remove it from the design. Its count-only purpose does not grant note-reading permission.</w:t>
      </w:r>
    </w:p>
    <w:p>
      <w:pPr>
        <w:pStyle w:val="Heading3"/>
      </w:pPr>
      <w:r>
        <w:t>Repair a missing building block</w:t>
      </w:r>
    </w:p>
    <w:p>
      <w:r>
        <w:t>Review Performance and cost experiments (ai-6/29). Goal: Explain the mechanism and terminology of performance and cost experiments. Short practice: Calculate per-case seconds and cost units for A and B. Which meets a budget of at most 2 cost units per case, and what speed trade-off does that choice make?. Return to this week and explain what you changed.</w:t>
      </w:r>
    </w:p>
    <w:p>
      <w:r>
        <w:t>Review Human escalation workflows (ai-6/27). Goal: Explain the mechanism and terminology of human escalation workflows. Short practice: Identify the exact service boundary in the bottle question. What accurate information belongs in the supervisor handoff, and what remains unresolved if nobody is reachable?. Return to this week and explain what you changed.</w:t>
      </w:r>
    </w:p>
    <w:p>
      <w:r>
        <w:t>Review Release and rollback (ai-6/24). Goal: Explain the mechanism and terminology of release and rollback. Short practice: Compute A’s and B’s correctness percentages. Why is B still blocked, and does passing a fresh privacy check automatically satisfy every release gate?.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