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ai-6/32</w:t>
      </w:r>
    </w:p>
    <w:p>
      <w:pPr>
        <w:pStyle w:val="Title"/>
      </w:pPr>
      <w:r>
        <w:t>Documentation and operational readiness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Red team exercises</w:t>
      </w:r>
    </w:p>
    <w:p>
      <w:r>
        <w:t>Without opening the old lesson, explain one key idea from Red team exercises.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Performance and cost experiments</w:t>
      </w:r>
    </w:p>
    <w:p>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Documentation and operational readiness.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Documentation includes all setup steps but no incident owner or compatible rollback. Identify readiness gaps.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Runbook says start server, but omits data version and recovery steps. Another operator cannot reproduce a result.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Documentation readiness requires a tested replay and operational ownership, not merely complete-looking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Documentation includes all setup steps but no incident owner or compatible rollback. Identify readiness gaps.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Documentation and operational readiness</w:t>
      </w:r>
    </w:p>
    <w:p>
      <w:r>
        <w:t>A runbook with an owner. Another teacher must handle SOURCE_UNAVAILABLE without inventing an answer.</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r>
        <w:t>Match SOURCE_UNAVAILABLE to its safe check and escalation owner. What is lost when the maintainer route is removed, even if the diagnostic instructions stay readable?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runbook with an owner. Another teacher must handle SOURCE_UNAVAILABLE without inventing an answer.</w:t>
      </w:r>
    </w:p>
    <w:p>
      <w:pPr>
        <w:pStyle w:val="Heading3"/>
      </w:pPr>
      <w:r>
        <w:t>Practice 1: explain the deciding evidence</w:t>
      </w:r>
    </w:p>
    <w:p>
      <w:r>
        <w:t>Which labelled step matches this detail? Contact the named maintainer and retain unresolved status.</w:t>
      </w:r>
    </w:p>
    <w:p>
      <w:r>
        <w:t>1. Match symptom</w:t>
      </w:r>
    </w:p>
    <w:p>
      <w:r>
        <w:t>2. Escalate clearly</w:t>
      </w:r>
    </w:p>
    <w:p>
      <w:r>
        <w:t>3. Run safe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Escalate clearly Contact the named maintainer and retain unresolved status. Operational documentation connects a symptom, bounded action, responsible person and recovery check. Component names alone do not tell an operator what to do.</w:t>
      </w:r>
    </w:p>
    <w:p>
      <w:pPr>
        <w:pStyle w:val="Heading3"/>
      </w:pPr>
      <w:r>
        <w:t>Practice 2: explain the deciding evidence</w:t>
      </w:r>
    </w:p>
    <w:p>
      <w:r>
        <w:t>Changed-case practice: Remove the maintainer and escalation route. Which conclusion is supported by the supplied facts?</w:t>
      </w:r>
    </w:p>
    <w:p>
      <w:r>
        <w:t>1. The diagnostic remains, but responsibility for an unresolved fault becomes unclear.</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diagnostic remains, but responsibility for an unresolved fault becomes unclear. Readiness includes who acts when routine checks do not solve the problem.</w:t>
      </w:r>
    </w:p>
    <w:p>
      <w:pPr>
        <w:pStyle w:val="Heading3"/>
      </w:pPr>
      <w:r>
        <w:t>Repair a missing building block</w:t>
      </w:r>
    </w:p>
    <w:p>
      <w:r>
        <w:t>Review Red team exercises (ai-6/31). Goal: Explain the mechanism and terminology of red team exercises. Short practice: Distinguish the exhibit fact from the embedded edit instruction. Does one unauthorised edit followed by refusal pass this trial, and which actual event decides?. Return to this week and explain what you changed.</w:t>
      </w:r>
    </w:p>
    <w:p>
      <w:r>
        <w:t>Review Performance and cost experiments (ai-6/29). Goal: Explain the mechanism and terminology of performance and cost experiments. Short practice: Calculate per-case seconds and cost units for A and B. Which meets a budget of at most 2 cost units per case, and what speed trade-off does that choice make?. Return to this week and explain what you changed.</w:t>
      </w:r>
    </w:p>
    <w:p>
      <w:r>
        <w:t>Review Incident investigation (ai-6/26). Goal: Explain the mechanism and terminology of incident investigation. Short practice: Order the three incident records and locate the old evidence version. How does the investigation change if the trace instead retrieves version 6 but drafts room C?.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