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ai-7/3</w:t>
      </w:r>
    </w:p>
    <w:p>
      <w:pPr>
        <w:pStyle w:val="Title"/>
      </w:pPr>
      <w:r>
        <w:t>Finding primary research</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Reading a research claim</w:t>
      </w:r>
    </w:p>
    <w:p>
      <w:r>
        <w:t>Without opening the old lesson, explain one key idea from Reading a research claim.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Finding primary research.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Finding primary research.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A search result describes a benchmark score, but the linked paper uses a different dataset. What should the comparison record contain?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blog says experiment had100 cases; original methods say40 and supplementary version says60 after revision.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Being primary does not guarantee soundness; methods and evidence still require assessment.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A search result describes a benchmark score, but the linked paper uses a different dataset. What should the comparison record contain?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finding primary research evidence sheet to Reproducible AI Research Study. Show how you can explain the mechanism and terminology of finding primary research.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Finding primary research</w:t>
      </w:r>
    </w:p>
    <w:p>
      <w:r>
        <w:t>Find the source behind a summary. A blog describes a fictional benchmark improvement and links an original study report.</w:t>
      </w:r>
    </w:p>
    <w:p>
      <w:r>
        <w:t>Blog says "90% reliable". Original report records 9/10 correct on one fixed fictional task set and describes its labels.</w:t>
      </w:r>
    </w:p>
    <w:p>
      <w:r>
        <w:drawing>
          <wp:inline xmlns:a="http://schemas.openxmlformats.org/drawingml/2006/main" xmlns:pic="http://schemas.openxmlformats.org/drawingml/2006/picture">
            <wp:extent cx="5486400" cy="5225143"/>
            <wp:docPr id="1" name="Picture 1" descr="Finding primary research. Follow the primary link: Open the original report rather than treating the blog as the measurement.. Locate methods and results: Identify the ten cases, labels and nine correct results.. Record source details: Keep report version and page or table reference with the exact scoped result."/>
            <wp:cNvGraphicFramePr>
              <a:graphicFrameLocks noChangeAspect="1"/>
            </wp:cNvGraphicFramePr>
            <a:graphic>
              <a:graphicData uri="http://schemas.openxmlformats.org/drawingml/2006/picture">
                <pic:pic>
                  <pic:nvPicPr>
                    <pic:cNvPr id="0" name="academy-visual-ai-7-3.png"/>
                    <pic:cNvPicPr/>
                  </pic:nvPicPr>
                  <pic:blipFill>
                    <a:blip r:embed="rId9"/>
                    <a:stretch>
                      <a:fillRect/>
                    </a:stretch>
                  </pic:blipFill>
                  <pic:spPr>
                    <a:xfrm>
                      <a:off x="0" y="0"/>
                      <a:ext cx="5486400" cy="5225143"/>
                    </a:xfrm>
                    <a:prstGeom prst="rect"/>
                  </pic:spPr>
                </pic:pic>
              </a:graphicData>
            </a:graphic>
          </wp:inline>
        </w:drawing>
      </w:r>
    </w:p>
    <w:p>
      <w:r>
        <w:t>Separate what the blog claims from what the original report records. Which methods and denominator must be inspected, and what status is honest if the original report is unavailable?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Frame the need. Name the user, the problem, allowed inputs and a safe simple starting method.</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Find the source behind a summary. A blog describes a fictional benchmark improvement and links an original study report.</w:t>
      </w:r>
    </w:p>
    <w:p>
      <w:pPr>
        <w:pStyle w:val="Heading3"/>
      </w:pPr>
      <w:r>
        <w:t>Practice 1: explain the deciding evidence</w:t>
      </w:r>
    </w:p>
    <w:p>
      <w:r>
        <w:t>Which labelled step matches this detail? Keep report version and page or table reference with the exact scoped result.</w:t>
      </w:r>
    </w:p>
    <w:p>
      <w:r>
        <w:t>1. Record source details</w:t>
      </w:r>
    </w:p>
    <w:p>
      <w:r>
        <w:t>2. Locate methods and results</w:t>
      </w:r>
    </w:p>
    <w:p>
      <w:r>
        <w:t>3. Follow the primary link</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Record source details Keep report version and page or table reference with the exact scoped result. Primary research exposes the procedure and observations behind a summary. It still needs scrutiny; being original does not make every interpretation correct.</w:t>
      </w:r>
    </w:p>
    <w:p>
      <w:pPr>
        <w:pStyle w:val="Heading3"/>
      </w:pPr>
      <w:r>
        <w:t>Practice 2: explain the deciding evidence</w:t>
      </w:r>
    </w:p>
    <w:p>
      <w:r>
        <w:t>Changed-case practice: The original report is unavailable and only the blog remains. Which conclusion is supported by the supplied facts?</w:t>
      </w:r>
    </w:p>
    <w:p>
      <w:r>
        <w:t>1. This one example guarantees correct results for every future input.</w:t>
      </w:r>
    </w:p>
    <w:p>
      <w:r>
        <w:t>2. We can decide the result without examining the changed input or the procedure.</w:t>
      </w:r>
    </w:p>
    <w:p>
      <w:r>
        <w:t>3. Mark the measurement as unverified rather than filling in absent methods.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Mark the measurement as unverified rather than filling in absent methods. The summary cannot supply details that have not been inspected.</w:t>
      </w:r>
    </w:p>
    <w:p>
      <w:pPr>
        <w:pStyle w:val="Heading3"/>
      </w:pPr>
      <w:r>
        <w:t>Repair a missing building block</w:t>
      </w:r>
    </w:p>
    <w:p>
      <w:r>
        <w:t>Review Reading a research claim (ai-7/2). Goal: Explain the mechanism and terminology of reading a research claim. Short practice: Calculate the baseline and new rates for 2/10 and 4/10. Explain both twice the rate and the percentage-point change, and say why neither measures every learner’s improvement..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