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ai-7/10</w:t>
      </w:r>
    </w:p>
    <w:p>
      <w:pPr>
        <w:pStyle w:val="Title"/>
      </w:pPr>
      <w:r>
        <w:t>Confounders and controls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Experimental units and independence</w:t>
      </w:r>
    </w:p>
    <w:p>
      <w:r>
        <w:t>Without opening the old lesson, explain one key idea from Experimental units and independence.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Hypotheses and measurable outcomes</w:t>
      </w:r>
    </w:p>
    <w:p>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Methods results and limitations</w:t>
      </w:r>
    </w:p>
    <w:p>
      <w:r>
        <w:t>Without opening the old lesson, explain one key idea from Methods results and limitations.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Confounders and controls.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Confounders and controls.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Every method A run is morning and B run afternoon; network speed varies by time. Propose a repair.</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New method uses better corpus and different queries while old method uses the original set.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Controls address specified alternatives, not every possible unknown confounder.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Every method A run is morning and B run afternoon; network speed varies by time. Propose a repair.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confounders and controls evidence sheet to Reproducible AI Research Study. Show how you can explain the mechanism and terminology of confounders and controls.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Confounders and controls</w:t>
      </w:r>
    </w:p>
    <w:p>
      <w:r>
        <w:t>Separate background from class. Training data show every healthy leaf on white paper and every spotted leaf on blue paper.</w:t>
      </w:r>
    </w:p>
    <w:p>
      <w:r>
        <w:t>Goal is leaf condition, not paper colour. A proposed check uses both paper colours for each condition.</w:t>
      </w:r>
    </w:p>
    <w:p>
      <w:r>
        <w:drawing>
          <wp:inline xmlns:a="http://schemas.openxmlformats.org/drawingml/2006/main" xmlns:pic="http://schemas.openxmlformats.org/drawingml/2006/picture">
            <wp:extent cx="5486400" cy="3077029"/>
            <wp:docPr id="1" name="Picture 1" descr="Cross class with paper background"/>
            <wp:cNvGraphicFramePr>
              <a:graphicFrameLocks noChangeAspect="1"/>
            </wp:cNvGraphicFramePr>
            <a:graphic>
              <a:graphicData uri="http://schemas.openxmlformats.org/drawingml/2006/picture">
                <pic:pic>
                  <pic:nvPicPr>
                    <pic:cNvPr id="0" name="academy-detail-ai-7-1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61429"/>
            <wp:docPr id="2" name="Picture 2" descr="Confounders and controls. Identify coupled variables: Condition and background change together in the original collection.. Cross the conditions: Collect healthy-white, healthy-blue, spotted-white and spotted-blue cases.. Inspect the shortcut: Compare predictions when the same leaf’s background changes under a controlled test."/>
            <wp:cNvGraphicFramePr>
              <a:graphicFrameLocks noChangeAspect="1"/>
            </wp:cNvGraphicFramePr>
            <a:graphic>
              <a:graphicData uri="http://schemas.openxmlformats.org/drawingml/2006/picture">
                <pic:pic>
                  <pic:nvPicPr>
                    <pic:cNvPr id="0" name="academy-visual-ai-7-10.png"/>
                    <pic:cNvPicPr/>
                  </pic:nvPicPr>
                  <pic:blipFill>
                    <a:blip r:embed="rId10"/>
                    <a:stretch>
                      <a:fillRect/>
                    </a:stretch>
                  </pic:blipFill>
                  <pic:spPr>
                    <a:xfrm>
                      <a:off x="0" y="0"/>
                      <a:ext cx="5486400" cy="5261429"/>
                    </a:xfrm>
                    <a:prstGeom prst="rect"/>
                  </pic:spPr>
                </pic:pic>
              </a:graphicData>
            </a:graphic>
          </wp:inline>
        </w:drawing>
      </w:r>
    </w:p>
    <w:p>
      <w:r>
        <w:t>Draw the four condition/background combinations. Which variables were coupled before, and why would collecting only healthy-white and spotted-blue again leave the confounding unresolved?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Make a transparent first version. Keep a trace of how one input becomes an output; explain the rule or learned component.</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Separate background from class. Training data show every healthy leaf on white paper and every spotted leaf on blue paper.</w:t>
      </w:r>
    </w:p>
    <w:p>
      <w:pPr>
        <w:pStyle w:val="Heading3"/>
      </w:pPr>
      <w:r>
        <w:t>Practice 1: explain the deciding evidence</w:t>
      </w:r>
    </w:p>
    <w:p>
      <w:r>
        <w:t>Which labelled step matches this detail? Compare predictions when the same leaf’s background changes under a controlled test.</w:t>
      </w:r>
    </w:p>
    <w:p>
      <w:r>
        <w:t>1. Identify coupled variables</w:t>
      </w:r>
    </w:p>
    <w:p>
      <w:r>
        <w:t>2. Inspect the shortcut</w:t>
      </w:r>
    </w:p>
    <w:p>
      <w:r>
        <w:t>3. Cross the conditions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Inspect the shortcut Compare predictions when the same leaf’s background changes under a controlled test. A confounder can provide an alternative explanation for a result. Crossing conditions makes the intended feature and the nuisance feature less entangled.</w:t>
      </w:r>
    </w:p>
    <w:p>
      <w:pPr>
        <w:pStyle w:val="Heading3"/>
      </w:pPr>
      <w:r>
        <w:t>Practice 2: explain the deciding evidence</w:t>
      </w:r>
    </w:p>
    <w:p>
      <w:r>
        <w:t>Changed-case practice: New cases still use only healthy-white and spotted-blue. Which conclusion is supported by the supplied facts?</w:t>
      </w:r>
    </w:p>
    <w:p>
      <w:r>
        <w:t>1. We can decide the result without examining the changed input or the procedure.</w:t>
      </w:r>
    </w:p>
    <w:p>
      <w:r>
        <w:t>2. The collection does not resolve the background confounding.</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collection does not resolve the background confounding. The same two variables remain coupled instead of being varied separately.</w:t>
      </w:r>
    </w:p>
    <w:p>
      <w:pPr>
        <w:pStyle w:val="Heading3"/>
      </w:pPr>
      <w:r>
        <w:t>Repair a missing building block</w:t>
      </w:r>
    </w:p>
    <w:p>
      <w:r>
        <w:t>Review Experimental units and independence (ai-7/9). Goal: Explain the mechanism and terminology of experimental units and independence. Short practice: Count independent plants and photo views. Construct the stated group-correct split, then explain why placing a P1 view in evaluation creates leakage for the new-plant goal.. Return to this week and explain what you changed.</w:t>
      </w:r>
    </w:p>
    <w:p>
      <w:r>
        <w:t>Review Hypotheses and measurable outcomes (ai-7/7). Goal: Explain the mechanism and terminology of hypotheses and measurable outcomes. Short practice: Name the predicted outcome and how unsupported is scored. If B sounds friendlier but ties A’s unsupported count, does the recorded improvement hypothesis receive support?. Return to this week and explain what you changed.</w:t>
      </w:r>
    </w:p>
    <w:p>
      <w:r>
        <w:t>Review Methods results and limitations (ai-7/4). Goal: Explain the mechanism and terminology of methods results and limitations. Short practice: Place the five-photo procedure, 3/5 versus 4/5 finding and missing outdoor evidence in their proper categories. Why cannot the result establish that B is best for outdoor farming?.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