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ai-7/11</w:t>
      </w:r>
    </w:p>
    <w:p>
      <w:pPr>
        <w:pStyle w:val="Title"/>
      </w:pPr>
      <w:r>
        <w:t>Sampling variability</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Confounders and controls</w:t>
      </w:r>
    </w:p>
    <w:p>
      <w:r>
        <w:t>Without opening the old lesson, explain one key idea from Confounders and controls.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and fair comparisons</w:t>
      </w:r>
    </w:p>
    <w:p>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Replication and reproduction</w:t>
      </w:r>
    </w:p>
    <w:p>
      <w:r>
        <w:t>Without opening the old lesson, explain one key idea from Replication and reproduction.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Sampling variability.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Sampling variability.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Population0, 0, 4, 4 with distinct IDs; enumerate size2 sample means and their average.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Find the mean of sample means and the chance of mean2 under uniform selection of those six samples.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This finite example is not a general normality guarantee or a model of a biased convenience sample.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Population0, 0, 4, 4 with distinct IDs; enumerate size2 sample means and their average.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sampling variability evidence sheet to Reproducible AI Research Study. Show how you can explain the mechanism and terminology of sampling variability.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Sampling variability</w:t>
      </w:r>
    </w:p>
    <w:p>
      <w:r>
        <w:t>Two small samples can differ. A fixed classifier is scored on two distinct four-case samples from a declared collection.</w:t>
      </w:r>
    </w:p>
    <w:p>
      <w:r>
        <w:t>Sample A has 3 correct of 4; sample B has 2 correct of 4. The model and rubric are unchanged.</w:t>
      </w:r>
    </w:p>
    <w:p>
      <w:r>
        <w:drawing>
          <wp:inline xmlns:a="http://schemas.openxmlformats.org/drawingml/2006/main" xmlns:pic="http://schemas.openxmlformats.org/drawingml/2006/picture">
            <wp:extent cx="5486400" cy="2641600"/>
            <wp:docPr id="1" name="Picture 1"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0"/>
                    <a:stretch>
                      <a:fillRect/>
                    </a:stretch>
                  </pic:blipFill>
                  <pic:spPr>
                    <a:xfrm>
                      <a:off x="0" y="0"/>
                      <a:ext cx="5486400" cy="5145314"/>
                    </a:xfrm>
                    <a:prstGeom prst="rect"/>
                  </pic:spPr>
                </pic:pic>
              </a:graphicData>
            </a:graphic>
          </wp:inline>
        </w:drawing>
      </w:r>
    </w:p>
    <w:p>
      <w:r>
        <w:t>Calculate the two four-case rates and their difference. Explain how changed included cases can affect a fixed model, and why identical deterministic records should not differ on a rerun.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Make a transparent first version. Keep a trace of how one input becomes an output; explain the rule or learned component.</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Two small samples can differ. A fixed classifier is scored on two distinct four-case samples from a declared collection.</w:t>
      </w:r>
    </w:p>
    <w:p>
      <w:pPr>
        <w:pStyle w:val="Heading3"/>
      </w:pPr>
      <w:r>
        <w:t>Practice 1: explain the deciding evidence</w:t>
      </w:r>
    </w:p>
    <w:p>
      <w:r>
        <w:t>Which labelled step matches this detail? Different included cases can change a small-sample rate.</w:t>
      </w:r>
    </w:p>
    <w:p>
      <w:r>
        <w:t>1. Consider sampling</w:t>
      </w:r>
    </w:p>
    <w:p>
      <w:r>
        <w:t>2. Keep model fixed</w:t>
      </w:r>
    </w:p>
    <w:p>
      <w:r>
        <w:t>3. Compute observed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Consider sampling Different included cases can change a small-sample rate. Sampling variability means a statistic can vary because different units were observed. Do not automatically attribute every rate change to a model improvement or deterioration.</w:t>
      </w:r>
    </w:p>
    <w:p>
      <w:pPr>
        <w:pStyle w:val="Heading3"/>
      </w:pPr>
      <w:r>
        <w:t>Practice 2: explain the deciding evidence</w:t>
      </w:r>
    </w:p>
    <w:p>
      <w:r>
        <w:t>Changed-case practice: Evaluate the exact same fixed four cases twice with deterministic predictions. Which conclusion is supported by the supplied facts?</w:t>
      </w:r>
    </w:p>
    <w:p>
      <w:r>
        <w:t>1. The counts should agree unless some condition, data or scoring changed.</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counts should agree unless some condition, data or scoring changed. The sampling explanation no longer applies when the records are identical.</w:t>
      </w:r>
    </w:p>
    <w:p>
      <w:pPr>
        <w:pStyle w:val="Heading3"/>
      </w:pPr>
      <w:r>
        <w:t>Repair a missing building block</w:t>
      </w:r>
    </w:p>
    <w:p>
      <w:r>
        <w:t>Review Confounders and controls (ai-7/10). Goal: Explain the mechanism and terminology of confounders and controls. Short practice: Draw the four condition/background combinations. Which variables were coupled before, and why would collecting only healthy-white and spotted-blue again leave the confounding unresolved?. Return to this week and explain what you changed.</w:t>
      </w:r>
    </w:p>
    <w:p>
      <w:r>
        <w:t>Review Baselines and fair comparisons (ai-7/8). Goal: Explain the mechanism and terminology of baselines and fair comparisons. Short practice: Calculate 6/8 and 7/8 correctness and name the one-case gain. Why is giving B the answer key incompatible with an unseen comparison to the simple baseline?. Return to this week and explain what you changed.</w:t>
      </w:r>
    </w:p>
    <w:p>
      <w:r>
        <w:t>Review Replication and reproduction (ai-7/5). Goal: Explain the mechanism and terminology of replication and reproduction. Short practice: Calculate the scores from the original and new four-record sets. Which activity reproduces saved analysis, which repeats the protocol, and why does a different rerun of the original data need investigation?.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