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ai-7/12</w:t>
      </w:r>
    </w:p>
    <w:p>
      <w:pPr>
        <w:pStyle w:val="Title"/>
      </w:pPr>
      <w:r>
        <w:t>Uncertainty intervals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Sampling variability</w:t>
      </w:r>
    </w:p>
    <w:p>
      <w:r>
        <w:t>Without opening the old lesson, explain one key idea from Sampling variability.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Experimental units and independence</w:t>
      </w:r>
    </w:p>
    <w:p>
      <w:r>
        <w:t>Without opening the old lesson, explain one key idea from Experimental units and independence.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literature comparison matrix</w:t>
      </w:r>
    </w:p>
    <w:p>
      <w:r>
        <w:t>Without opening the old lesson, explain one key idea from A literature comparison matrix.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Uncertainty intervals.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Uncertainty intervals.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Mean20, n25, known sigma5 and critical1.96. Compute interval and name one assumption.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Observed mean10, n16, sigma2. Compute standard error, margin and interval.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narrow interval can be precisely biased; sampling independence and representativeness must be justified.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Mean20, n25, known sigma5 and critical1.96. Compute interval and name one assumption.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uncertainty intervals evidence sheet to Reproducible AI Research Study. Show how you can explain the mechanism and terminology of uncertainty intervals.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Uncertainty intervals</w:t>
      </w:r>
    </w:p>
    <w:p>
      <w:r>
        <w:t>Read a supplied uncertainty interval. A fictional study supplies an interval for a mean time difference under its stated sampling model.</w:t>
      </w:r>
    </w:p>
    <w:p>
      <w:r>
        <w:t>Estimated difference B−A is -0.8 seconds; supplied 95% confidence interval is [-1.4,-0.2] seconds. Assume the study’s interval method is appropriate.</w:t>
      </w:r>
    </w:p>
    <w:p>
      <w:r>
        <w:drawing>
          <wp:inline xmlns:a="http://schemas.openxmlformats.org/drawingml/2006/main" xmlns:pic="http://schemas.openxmlformats.org/drawingml/2006/picture">
            <wp:extent cx="5486400" cy="3077029"/>
            <wp:docPr id="1" name="Picture 1" descr="Supplied interval for B minus A time"/>
            <wp:cNvGraphicFramePr>
              <a:graphicFrameLocks noChangeAspect="1"/>
            </wp:cNvGraphicFramePr>
            <a:graphic>
              <a:graphicData uri="http://schemas.openxmlformats.org/drawingml/2006/picture">
                <pic:pic>
                  <pic:nvPicPr>
                    <pic:cNvPr id="0" name="academy-detail-ai-7-1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Uncertainty intervals. Locate the estimate: -0.8 lies between the interval endpoints.. Interpret the sign: Negative B−A means B took less time under this measurement convention.. Respect coverage meaning: 95% describes the method’s long-run coverage, not a 95% probability for this fixed parameter."/>
            <wp:cNvGraphicFramePr>
              <a:graphicFrameLocks noChangeAspect="1"/>
            </wp:cNvGraphicFramePr>
            <a:graphic>
              <a:graphicData uri="http://schemas.openxmlformats.org/drawingml/2006/picture">
                <pic:pic>
                  <pic:nvPicPr>
                    <pic:cNvPr id="0" name="academy-visual-ai-7-12.png"/>
                    <pic:cNvPicPr/>
                  </pic:nvPicPr>
                  <pic:blipFill>
                    <a:blip r:embed="rId10"/>
                    <a:stretch>
                      <a:fillRect/>
                    </a:stretch>
                  </pic:blipFill>
                  <pic:spPr>
                    <a:xfrm>
                      <a:off x="0" y="0"/>
                      <a:ext cx="5486400" cy="5225143"/>
                    </a:xfrm>
                    <a:prstGeom prst="rect"/>
                  </pic:spPr>
                </pic:pic>
              </a:graphicData>
            </a:graphic>
          </wp:inline>
        </w:drawing>
      </w:r>
    </w:p>
    <w:p>
      <w:r>
        <w:t>Locate -0.8 and zero relative to the supplied interval [-1.4,-0.2]. Interpret the sign and confidence-method meaning, then describe what changes with interval [-1.4,0.3].</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Make a transparent first version. Keep a trace of how one input becomes an output; explain the rule or learned component.</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Read a supplied uncertainty interval. A fictional study supplies an interval for a mean time difference under its stated sampling model.</w:t>
      </w:r>
    </w:p>
    <w:p>
      <w:pPr>
        <w:pStyle w:val="Heading3"/>
      </w:pPr>
      <w:r>
        <w:t>Practice 1: explain the deciding evidence</w:t>
      </w:r>
    </w:p>
    <w:p>
      <w:r>
        <w:t>Which labelled step matches this detail? 95% describes the method’s long-run coverage, not a 95% probability for this fixed parameter.</w:t>
      </w:r>
    </w:p>
    <w:p>
      <w:r>
        <w:t>1. Interpret the sign</w:t>
      </w:r>
    </w:p>
    <w:p>
      <w:r>
        <w:t>2. Locate the estimate</w:t>
      </w:r>
    </w:p>
    <w:p>
      <w:r>
        <w:t>3. Respect coverage meaning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Respect coverage meaning 95% describes the method’s long-run coverage, not a 95% probability for this fixed parameter. An uncertainty interval conveys precision under assumptions. Its endpoints, units, comparison direction and method all matter; the interval is supplied here, not calculated from unavailable raw data.</w:t>
      </w:r>
    </w:p>
    <w:p>
      <w:pPr>
        <w:pStyle w:val="Heading3"/>
      </w:pPr>
      <w:r>
        <w:t>Practice 2: explain the deciding evidence</w:t>
      </w:r>
    </w:p>
    <w:p>
      <w:r>
        <w:t>Changed-case practice: Use a supplied interval [-1.4,0.3] instead. Which conclusion is supported by the supplied facts?</w:t>
      </w:r>
    </w:p>
    <w:p>
      <w:r>
        <w:t>1. This one example guarantees correct results for every future input.</w:t>
      </w:r>
    </w:p>
    <w:p>
      <w:r>
        <w:t>2. We can decide the result without examining the changed input or the procedure.</w:t>
      </w:r>
    </w:p>
    <w:p>
      <w:r>
        <w:t>3. It includes zero and positive differences, so both no difference and slower B remain compatible with that interval.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 includes zero and positive differences, so both no difference and slower B remain compatible with that interval. The new upper endpoint crosses zero.</w:t>
      </w:r>
    </w:p>
    <w:p>
      <w:pPr>
        <w:pStyle w:val="Heading3"/>
      </w:pPr>
      <w:r>
        <w:t>Repair a missing building block</w:t>
      </w:r>
    </w:p>
    <w:p>
      <w:r>
        <w:t>Review Sampling variability (ai-7/11). Goal: Explain the mechanism and terminology of sampling variability. Short practice: Calculate the two four-case rates and their difference. Explain how changed included cases can affect a fixed model, and why identical deterministic records should not differ on a rerun.. Return to this week and explain what you changed.</w:t>
      </w:r>
    </w:p>
    <w:p>
      <w:r>
        <w:t>Review Experimental units and independence (ai-7/9). Goal: Explain the mechanism and terminology of experimental units and independence. Short practice: Count independent plants and photo views. Construct the stated group-correct split, then explain why placing a P1 view in evaluation creates leakage for the new-plant goal.. Return to this week and explain what you changed.</w:t>
      </w:r>
    </w:p>
    <w:p>
      <w:r>
        <w:t>Review A literature comparison matrix (ai-7/6). Goal: Explain the mechanism and terminology of a literature comparison matrix. Short practice: Explain why 8/10 indoors and 16/20 outdoors share a rate but not a controlled comparison. Which condition column must the literature matrix preserve?.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