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ai-7/18</w:t>
      </w:r>
    </w:p>
    <w:p>
      <w:pPr>
        <w:pStyle w:val="Title"/>
      </w:pPr>
      <w:r>
        <w:t>Dataset and benchmark limitations</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Sensitivity analysis</w:t>
      </w:r>
    </w:p>
    <w:p>
      <w:r>
        <w:t>Without opening the old lesson, explain one key idea from Sensitivity analysis.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Multiple comparisons</w:t>
      </w:r>
    </w:p>
    <w:p>
      <w:r>
        <w:t>Without opening the old lesson, explain one key idea from Multiple comparisons.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Uncertainty intervals</w:t>
      </w:r>
    </w:p>
    <w:p>
      <w:r>
        <w:t>Without opening the old lesson, explain one key idea from Uncertainty intervals.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Dataset and benchmark limitations.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Dataset and benchmark limitations.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Twelve rows include four copies of one source and eight others. Count unique units and name one coverage concern.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Ten benchmark rows include three copies of one source and seven other unique sources.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Benchmark success does not establish performance on a deployment population missing from its design.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Twelve rows include four copies of one source and eight others. Count unique units and name one coverage concern.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dataset and benchmark limitations evidence sheet to Reproducible AI Research Study. Show how you can explain the mechanism and terminology of dataset and benchmark limitations.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Dataset and benchmark limitations</w:t>
      </w:r>
    </w:p>
    <w:p>
      <w:r>
        <w:t>A benchmark can miss the intended setting. A plant model is evaluated on clean indoor photos but proposed for shaded outdoor photos.</w:t>
      </w:r>
    </w:p>
    <w:p>
      <w:r>
        <w:t>Indoor benchmark: 9/10 correct. No outdoor cases are present. The same model is intended for both.</w:t>
      </w:r>
    </w:p>
    <w:p>
      <w:r>
        <w:drawing>
          <wp:inline xmlns:a="http://schemas.openxmlformats.org/drawingml/2006/main" xmlns:pic="http://schemas.openxmlformats.org/drawingml/2006/picture">
            <wp:extent cx="5486400" cy="3077029"/>
            <wp:docPr id="1" name="Picture 1" descr="Benchmark conditions"/>
            <wp:cNvGraphicFramePr>
              <a:graphicFrameLocks noChangeAspect="1"/>
            </wp:cNvGraphicFramePr>
            <a:graphic>
              <a:graphicData uri="http://schemas.openxmlformats.org/drawingml/2006/picture">
                <pic:pic>
                  <pic:nvPicPr>
                    <pic:cNvPr id="0" name="academy-detail-ai-7-18.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Dataset and benchmark limitations. Name measured setting: All ten benchmark images are clean indoor photos.. Report the result: The observed indoor score is 90%.. Name missing evidence: Outdoor shade performance remains unmeasured."/>
            <wp:cNvGraphicFramePr>
              <a:graphicFrameLocks noChangeAspect="1"/>
            </wp:cNvGraphicFramePr>
            <a:graphic>
              <a:graphicData uri="http://schemas.openxmlformats.org/drawingml/2006/picture">
                <pic:pic>
                  <pic:nvPicPr>
                    <pic:cNvPr id="0" name="academy-visual-ai-7-18.png"/>
                    <pic:cNvPicPr/>
                  </pic:nvPicPr>
                  <pic:blipFill>
                    <a:blip r:embed="rId10"/>
                    <a:stretch>
                      <a:fillRect/>
                    </a:stretch>
                  </pic:blipFill>
                  <pic:spPr>
                    <a:xfrm>
                      <a:off x="0" y="0"/>
                      <a:ext cx="5486400" cy="5145314"/>
                    </a:xfrm>
                    <a:prstGeom prst="rect"/>
                  </pic:spPr>
                </pic:pic>
              </a:graphicData>
            </a:graphic>
          </wp:inline>
        </w:drawing>
      </w:r>
    </w:p>
    <w:p>
      <w:r>
        <w:t>Report the indoor benchmark with its denominator and missing condition. After two correct outdoor cases out of four are added, what slice rate is supported and what remains uncertain?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Project portfolio milestone</w:t>
      </w:r>
    </w:p>
    <w:p>
      <w:r>
        <w:t>Project: Reproducible AI Research Study</w:t>
      </w:r>
    </w:p>
    <w:p>
      <w:r>
        <w:t>Current milestone: Test changed cases. Keep normal, boundary and failure cases; compare expected and observed results.</w:t>
      </w:r>
    </w:p>
    <w:p>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A benchmark can miss the intended setting. A plant model is evaluated on clean indoor photos but proposed for shaded outdoor photos.</w:t>
      </w:r>
    </w:p>
    <w:p>
      <w:pPr>
        <w:pStyle w:val="Heading3"/>
      </w:pPr>
      <w:r>
        <w:t>Practice 1: explain the deciding evidence</w:t>
      </w:r>
    </w:p>
    <w:p>
      <w:r>
        <w:t>Which labelled step matches this detail? Outdoor shade performance remains unmeasured.</w:t>
      </w:r>
    </w:p>
    <w:p>
      <w:r>
        <w:t>1. Report the result</w:t>
      </w:r>
    </w:p>
    <w:p>
      <w:r>
        <w:t>2. Name measured setting</w:t>
      </w:r>
    </w:p>
    <w:p>
      <w:r>
        <w:t>3. Name missing evidence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Name missing evidence Outdoor shade performance remains unmeasured. A benchmark represents particular tasks and collection conditions. High performance on it cannot automatically establish fitness for a different deployment setting.</w:t>
      </w:r>
    </w:p>
    <w:p>
      <w:pPr>
        <w:pStyle w:val="Heading3"/>
      </w:pPr>
      <w:r>
        <w:t>Practice 2: explain the deciding evidence</w:t>
      </w:r>
    </w:p>
    <w:p>
      <w:r>
        <w:t>Changed-case practice: Add four reserved outdoor cases, of which two are correct. Which conclusion is supported by the supplied facts?</w:t>
      </w:r>
    </w:p>
    <w:p>
      <w:r>
        <w:t>1. Report the outdoor slice as 2/4=50%, separately from indoor results.</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Report the outdoor slice as 2/4=50%, separately from indoor results. The new records finally measure the missing condition, with a small denominator.</w:t>
      </w:r>
    </w:p>
    <w:p>
      <w:pPr>
        <w:pStyle w:val="Heading3"/>
      </w:pPr>
      <w:r>
        <w:t>Repair a missing building block</w:t>
      </w:r>
    </w:p>
    <w:p>
      <w:r>
        <w:t>Review Sensitivity analysis (ai-7/17). Goal: Explain the mechanism and terminology of sensitivity analysis. Short practice: Classify 0.4, 0.6 and 0.8 at cutoffs 0.5, 0.7 and exactly 0.6. Which equality rule decides the boundary, and can these unlabelled scores identify the best cutoff?. Return to this week and explain what you changed.</w:t>
      </w:r>
    </w:p>
    <w:p>
      <w:r>
        <w:t>Review Multiple comparisons (ai-7/15). Goal: Explain the mechanism and terminology of multiple comparisons. Short practice: Calculate the six-test cutoff and identify which supplied p-values reject. Why must the team count every planned comparison rather than report only its smallest p-value?. Return to this week and explain what you changed.</w:t>
      </w:r>
    </w:p>
    <w:p>
      <w:r>
        <w:t>Review Uncertainty intervals (ai-7/12). Goal: Explain the mechanism and terminology of uncertainty intervals. Short practice: Locate -0.8 and zero relative to the supplied interval [-1.4,-0.2]. Interpret the sign and confidence-method meaning, then describe what changes with interval [-1.4,0.3]..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