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ai-7/19</w:t>
      </w:r>
    </w:p>
    <w:p>
      <w:pPr>
        <w:pStyle w:val="Title"/>
      </w:pPr>
      <w:r>
        <w:t>Research ethics and consent</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Dataset and benchmark limitations</w:t>
      </w:r>
    </w:p>
    <w:p>
      <w:r>
        <w:t>Without opening the old lesson, explain one key idea from Dataset and benchmark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Ablation studies</w:t>
      </w:r>
    </w:p>
    <w:p>
      <w:r>
        <w:t>Without opening the old lesson, explain one key idea from Ablation studies.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Effect size and practical importance</w:t>
      </w:r>
    </w:p>
    <w:p>
      <w:r>
        <w:t>Without opening the old lesson, explain one key idea from Effect size and practical importance.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Research ethics and consent.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Research ethics and consent.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fictional policy requires opt-in; proposal treats silence as agreement and grades participation.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Proposal automatically copies student essays into a study because they were submitted for grading.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This classroom policy exercise does not determine real legal or institutional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fictional policy requires opt-in; proposal treats silence as agreement and grades participation. Audit.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research ethics and consent evidence sheet to Reproducible AI Research Study. Show how you can explain the mechanism and terminology of research ethics and consent.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Research ethics and consent</w:t>
      </w:r>
    </w:p>
    <w:p>
      <w:r>
        <w:t>Consent is specific, not universal. A fictional study asks adults to submit anonymous drawings for one pattern-recognition investigation.</w:t>
      </w:r>
    </w:p>
    <w:p>
      <w:r>
        <w:t>Consent covers this study only. It excludes public posting of originals and unrelated face-recognition research.</w:t>
      </w:r>
    </w:p>
    <w:p>
      <w:r>
        <w:drawing>
          <wp:inline xmlns:a="http://schemas.openxmlformats.org/drawingml/2006/main" xmlns:pic="http://schemas.openxmlformats.org/drawingml/2006/picture">
            <wp:extent cx="5486400" cy="5261429"/>
            <wp:docPr id="1" name="Picture 1" descr="Research ethics and consent. State the purpose: Explain the drawing task and planned use before participation.. Respect exclusions: Do not publish originals or transfer them to the unrelated project.. Keep the agreement: Record permitted uses and the approved withdrawal procedure."/>
            <wp:cNvGraphicFramePr>
              <a:graphicFrameLocks noChangeAspect="1"/>
            </wp:cNvGraphicFramePr>
            <a:graphic>
              <a:graphicData uri="http://schemas.openxmlformats.org/drawingml/2006/picture">
                <pic:pic>
                  <pic:nvPicPr>
                    <pic:cNvPr id="0" name="academy-visual-ai-7-19.png"/>
                    <pic:cNvPicPr/>
                  </pic:nvPicPr>
                  <pic:blipFill>
                    <a:blip r:embed="rId9"/>
                    <a:stretch>
                      <a:fillRect/>
                    </a:stretch>
                  </pic:blipFill>
                  <pic:spPr>
                    <a:xfrm>
                      <a:off x="0" y="0"/>
                      <a:ext cx="5486400" cy="5261429"/>
                    </a:xfrm>
                    <a:prstGeom prst="rect"/>
                  </pic:spPr>
                </pic:pic>
              </a:graphicData>
            </a:graphic>
          </wp:inline>
        </w:drawing>
      </w:r>
    </w:p>
    <w:p>
      <w:r>
        <w:t>Identify which uses the drawing consent permits and excludes. Can the unrelated project reuse the drawings under this agreement, and what new authorisation would be needed?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Evaluate and revise. Compare with your starting method, explain errors and record a justified revision.</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Consent is specific, not universal. A fictional study asks adults to submit anonymous drawings for one pattern-recognition investigation.</w:t>
      </w:r>
    </w:p>
    <w:p>
      <w:pPr>
        <w:pStyle w:val="Heading3"/>
      </w:pPr>
      <w:r>
        <w:t>Practice 1: explain the deciding evidence</w:t>
      </w:r>
    </w:p>
    <w:p>
      <w:r>
        <w:t>Which labelled step matches this detail? Record permitted uses and the approved withdrawal procedure.</w:t>
      </w:r>
    </w:p>
    <w:p>
      <w:r>
        <w:t>1. State the purpose</w:t>
      </w:r>
    </w:p>
    <w:p>
      <w:r>
        <w:t>2. Keep the agreement</w:t>
      </w:r>
    </w:p>
    <w:p>
      <w:r>
        <w:t>3. Respect exclusions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the agreement Record permitted uses and the approved withdrawal procedure. Research ethics includes what people agree to, how they can decline and how risks are addressed. A contribution does not grant unlimited reuse.</w:t>
      </w:r>
    </w:p>
    <w:p>
      <w:pPr>
        <w:pStyle w:val="Heading3"/>
      </w:pPr>
      <w:r>
        <w:t>Practice 2: explain the deciding evidence</w:t>
      </w:r>
    </w:p>
    <w:p>
      <w:r>
        <w:t>Changed-case practice: A new project requests the same drawings for an excluded purpose. Which conclusion is supported by the supplied facts?</w:t>
      </w:r>
    </w:p>
    <w:p>
      <w:r>
        <w:t>1. This one example guarantees correct results for every future input.</w:t>
      </w:r>
    </w:p>
    <w:p>
      <w:r>
        <w:t>2. Do not reuse them under the existing consent; seek the required new authorisation.</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Do not reuse them under the existing consent; seek the required new authorisation. The new purpose falls outside the stated agreement.</w:t>
      </w:r>
    </w:p>
    <w:p>
      <w:pPr>
        <w:pStyle w:val="Heading3"/>
      </w:pPr>
      <w:r>
        <w:t>Repair a missing building block</w:t>
      </w:r>
    </w:p>
    <w:p>
      <w:r>
        <w:t>Review Dataset and benchmark limitations (ai-7/18). Goal: Explain the mechanism and terminology of dataset and benchmark limitations. Short practice: Report the indoor benchmark with its denominator and missing condition. After two correct outdoor cases out of four are added, what slice rate is supported and what remains uncertain?. Return to this week and explain what you changed.</w:t>
      </w:r>
    </w:p>
    <w:p>
      <w:r>
        <w:t>Review Ablation studies (ai-7/16). Goal: Explain the mechanism and terminology of ablation studies. Short practice: Calculate the filter ablation’s two rates and count change. Which single component is altered, and why does also changing the model prevent isolating the filter?. Return to this week and explain what you changed.</w:t>
      </w:r>
    </w:p>
    <w:p>
      <w:r>
        <w:t>Review Effect size and practical importance (ai-7/13). Goal: Explain the mechanism and terminology of effect size and practical importance. Short practice: Calculate the absolute error-rate reduction from 20/1000 to 15/1000. Does it meet the ten-fewer-errors threshold, and what changes when B has eight errors?.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