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ai-7/20</w:t>
      </w:r>
    </w:p>
    <w:p>
      <w:pPr>
        <w:pStyle w:val="Title"/>
      </w:pPr>
      <w:r>
        <w:t>Privacy and data governance</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Research ethics and consent</w:t>
      </w:r>
    </w:p>
    <w:p>
      <w:r>
        <w:t>Without opening the old lesson, explain one key idea from Research ethics and consent.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Sensitivity analysis</w:t>
      </w:r>
    </w:p>
    <w:p>
      <w:r>
        <w:t>Without opening the old lesson, explain one key idea from Sensitivity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Statistical tests and assumptions</w:t>
      </w:r>
    </w:p>
    <w:p>
      <w:r>
        <w:t>Without opening the old lesson, explain one key idea from Statistical tests and assumptions.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Privacy and data governance.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Privacy and data governance.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Aggregate contains one member in a subgroup; policy forbids subgroup reports smaller than5.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Export has coded ID, exact birth date, classroom and rare condition. Team calls it anonymous because names are removed.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size threshold or coding scheme alone does not guarantee privacy.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Aggregate contains one member in a subgroup; policy forbids subgroup reports smaller than5.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privacy and data governance evidence sheet to Reproducible AI Research Study. Show how you can explain the mechanism and terminology of privacy and data governance.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Privacy and data governance</w:t>
      </w:r>
    </w:p>
    <w:p>
      <w:r>
        <w:t>Govern data by purpose and access. A fictional project needs task scores and random participant codes, but not names.</w:t>
      </w:r>
    </w:p>
    <w:p>
      <w:r>
        <w:t>The analysis table holds codes and scores. A separate restricted key links codes to names only for authorised withdrawal handling.</w:t>
      </w:r>
    </w:p>
    <w:p>
      <w:r>
        <w:drawing>
          <wp:inline xmlns:a="http://schemas.openxmlformats.org/drawingml/2006/main" xmlns:pic="http://schemas.openxmlformats.org/drawingml/2006/picture">
            <wp:extent cx="5486400" cy="5185229"/>
            <wp:docPr id="1" name="Picture 1" descr="Privacy and data governance. Separate tables: Keep analysis records apart from the identity key.. Limit access: Analysts receive scores and codes, not the name linkage.. Define retention: Apply the approved deletion schedule to both stores and listed copies."/>
            <wp:cNvGraphicFramePr>
              <a:graphicFrameLocks noChangeAspect="1"/>
            </wp:cNvGraphicFramePr>
            <a:graphic>
              <a:graphicData uri="http://schemas.openxmlformats.org/drawingml/2006/picture">
                <pic:pic>
                  <pic:nvPicPr>
                    <pic:cNvPr id="0" name="academy-visual-ai-7-20.png"/>
                    <pic:cNvPicPr/>
                  </pic:nvPicPr>
                  <pic:blipFill>
                    <a:blip r:embed="rId9"/>
                    <a:stretch>
                      <a:fillRect/>
                    </a:stretch>
                  </pic:blipFill>
                  <pic:spPr>
                    <a:xfrm>
                      <a:off x="0" y="0"/>
                      <a:ext cx="5486400" cy="5185229"/>
                    </a:xfrm>
                    <a:prstGeom prst="rect"/>
                  </pic:spPr>
                </pic:pic>
              </a:graphicData>
            </a:graphic>
          </wp:inline>
        </w:drawing>
      </w:r>
    </w:p>
    <w:p>
      <w:r>
        <w:t>Point to the analysis table and the restricted identity key. Why are the codes pseudonymous rather than guaranteed anonymous, and what changes if the key is published?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Evaluate and revise. Compare with your starting method, explain errors and record a justified revision.</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Govern data by purpose and access. A fictional project needs task scores and random participant codes, but not names.</w:t>
      </w:r>
    </w:p>
    <w:p>
      <w:pPr>
        <w:pStyle w:val="Heading3"/>
      </w:pPr>
      <w:r>
        <w:t>Practice 1: explain the deciding evidence</w:t>
      </w:r>
    </w:p>
    <w:p>
      <w:r>
        <w:t>Which labelled step matches this detail? Apply the approved deletion schedule to both stores and listed copies.</w:t>
      </w:r>
    </w:p>
    <w:p>
      <w:r>
        <w:t>1. Define retention</w:t>
      </w:r>
    </w:p>
    <w:p>
      <w:r>
        <w:t>2. Separate tables</w:t>
      </w:r>
    </w:p>
    <w:p>
      <w:r>
        <w:t>3. Limit access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Define retention Apply the approved deletion schedule to both stores and listed copies. Pseudonymous codes reduce routine exposure but are not the same as irreversible anonymity. Governance specifies purpose, readers, locations and retention.</w:t>
      </w:r>
    </w:p>
    <w:p>
      <w:pPr>
        <w:pStyle w:val="Heading3"/>
      </w:pPr>
      <w:r>
        <w:t>Practice 2: explain the deciding evidence</w:t>
      </w:r>
    </w:p>
    <w:p>
      <w:r>
        <w:t>Changed-case practice: Publish the identity key with the analysis table. Which conclusion is supported by the supplied facts?</w:t>
      </w:r>
    </w:p>
    <w:p>
      <w:r>
        <w:t>1. The records become directly linkable to names and breach this access design.</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records become directly linkable to names and breach this access design. Separation only helps while the linkage key remains restricted.</w:t>
      </w:r>
    </w:p>
    <w:p>
      <w:pPr>
        <w:pStyle w:val="Heading3"/>
      </w:pPr>
      <w:r>
        <w:t>Repair a missing building block</w:t>
      </w:r>
    </w:p>
    <w:p>
      <w:r>
        <w:t>Review Research ethics and consent (ai-7/19). Goal: Explain the mechanism and terminology of research ethics and consent. Short practice: Identify which uses the drawing consent permits and excludes. Can the unrelated project reuse the drawings under this agreement, and what new authorisation would be needed?. Return to this week and explain what you changed.</w:t>
      </w:r>
    </w:p>
    <w:p>
      <w:r>
        <w:t>Review Sensitivity analysis (ai-7/17). Goal: Explain the mechanism and terminology of sensitivity analysis. Short practice: Classify 0.4, 0.6 and 0.8 at cutoffs 0.5, 0.7 and exactly 0.6. Which equality rule decides the boundary, and can these unlabelled scores identify the best cutoff?. Return to this week and explain what you changed.</w:t>
      </w:r>
    </w:p>
    <w:p>
      <w:r>
        <w:t>Review Statistical tests and assumptions (ai-7/14). Goal: Explain the mechanism and terminology of statistical tests and assumptions. Short practice: Calculate each paired difference and the observed sum. Count null arrangements with absolute sum at least four, compute p, and explain the decision at threshold 0.05..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