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ai-7/21</w:t>
      </w:r>
    </w:p>
    <w:p>
      <w:pPr>
        <w:pStyle w:val="Title"/>
      </w:pPr>
      <w:r>
        <w:t>Predefining an analysis plan</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Privacy and data governance</w:t>
      </w:r>
    </w:p>
    <w:p>
      <w:r>
        <w:t>Without opening the old lesson, explain one key idea from Privacy and data governance.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and benchmark limitations</w:t>
      </w:r>
    </w:p>
    <w:p>
      <w:r>
        <w:t>Without opening the old lesson, explain one key idea from Dataset and benchmark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Multiple comparisons</w:t>
      </w:r>
    </w:p>
    <w:p>
      <w:r>
        <w:t>Without opening the old lesson, explain one key idea from Multiple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Predefining an analysis plan.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Predefining an analysis plan.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Plan excludes malformed inputs by a rule fixed beforehand. Three of15 are malformed; 9 of12 eligible pass.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Plan includes all20 cases. After results, the team removes four failed cases because they make the graph look worse.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prespecified plan can still be flawed; transparency prevents hidden changes, not invalid assumptions.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Plan excludes malformed inputs by a rule fixed beforehand. Three of15 are malformed; 9 of12 eligible pass. Report.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predefining an analysis plan evidence sheet to Reproducible AI Research Study. Show how you can explain the mechanism and terminology of predefining an analysis plan.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Predefining an analysis plan</w:t>
      </w:r>
    </w:p>
    <w:p>
      <w:r>
        <w:t>Freeze decisions before the result. A team records its outcome, exclusions and analysis before evaluating a reserved set.</w:t>
      </w:r>
    </w:p>
    <w:p>
      <w:r>
        <w:t>Plan: compare correct counts on 12 cases; exclude only unreadable files identified before scoring; report all version results.</w:t>
      </w:r>
    </w:p>
    <w:p>
      <w:r>
        <w:drawing>
          <wp:inline xmlns:a="http://schemas.openxmlformats.org/drawingml/2006/main" xmlns:pic="http://schemas.openxmlformats.org/drawingml/2006/picture">
            <wp:extent cx="5486400" cy="5225143"/>
            <wp:docPr id="1" name="Picture 1"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9"/>
                    <a:stretch>
                      <a:fillRect/>
                    </a:stretch>
                  </pic:blipFill>
                  <pic:spPr>
                    <a:xfrm>
                      <a:off x="0" y="0"/>
                      <a:ext cx="5486400" cy="5225143"/>
                    </a:xfrm>
                    <a:prstGeom prst="rect"/>
                  </pic:spPr>
                </pic:pic>
              </a:graphicData>
            </a:graphic>
          </wp:inline>
        </w:drawing>
      </w:r>
    </w:p>
    <w:p>
      <w:r>
        <w:t>Apply the recorded exclusion rule. Can two readable model failures be removed, and how must a necessary later plan change be disclosed?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Evaluate and revise. Compare with your starting method, explain errors and record a justified revision.</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Freeze decisions before the result. A team records its outcome, exclusions and analysis before evaluating a reserved set.</w:t>
      </w:r>
    </w:p>
    <w:p>
      <w:pPr>
        <w:pStyle w:val="Heading3"/>
      </w:pPr>
      <w:r>
        <w:t>Practice 1: explain the deciding evidence</w:t>
      </w:r>
    </w:p>
    <w:p>
      <w:r>
        <w:t>Which labelled step matches this detail? If the plan changes, mark the change and give its reason.</w:t>
      </w:r>
    </w:p>
    <w:p>
      <w:r>
        <w:t>1. Protect the reserved set</w:t>
      </w:r>
    </w:p>
    <w:p>
      <w:r>
        <w:t>2. Write the rule first</w:t>
      </w:r>
    </w:p>
    <w:p>
      <w:r>
        <w:t>3. Report deviations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deviations If the plan changes, mark the change and give its reason. An analysis plan limits flexibility after outcomes are known. Necessary changes can be transparent, but they should not be silently presented as the original plan.</w:t>
      </w:r>
    </w:p>
    <w:p>
      <w:pPr>
        <w:pStyle w:val="Heading3"/>
      </w:pPr>
      <w:r>
        <w:t>Practice 2: explain the deciding evidence</w:t>
      </w:r>
    </w:p>
    <w:p>
      <w:r>
        <w:t>Changed-case practice: Exclude two readable cases because the new model fails them. Which conclusion is supported by the supplied facts?</w:t>
      </w:r>
    </w:p>
    <w:p>
      <w:r>
        <w:t>1. That outcome-driven exclusion violates the recorded rule.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outcome-driven exclusion violates the recorded rule. Model failure is not the predeclared unreadable-file criterion.</w:t>
      </w:r>
    </w:p>
    <w:p>
      <w:pPr>
        <w:pStyle w:val="Heading3"/>
      </w:pPr>
      <w:r>
        <w:t>Repair a missing building block</w:t>
      </w:r>
    </w:p>
    <w:p>
      <w:r>
        <w:t>Review Privacy and data governance (ai-7/20). Goal: Explain the mechanism and terminology of privacy and data governance. Short practice: Point to the analysis table and the restricted identity key. Why are the codes pseudonymous rather than guaranteed anonymous, and what changes if the key is published?. Return to this week and explain what you changed.</w:t>
      </w:r>
    </w:p>
    <w:p>
      <w:r>
        <w:t>Review Dataset and benchmark limitations (ai-7/18). Goal: Explain the mechanism and terminology of dataset and benchmark limitations. Short practice: Report the indoor benchmark with its denominator and missing condition. After two correct outdoor cases out of four are added, what slice rate is supported and what remains uncertain?. Return to this week and explain what you changed.</w:t>
      </w:r>
    </w:p>
    <w:p>
      <w:r>
        <w:t>Review Multiple comparisons (ai-7/15). Goal: Explain the mechanism and terminology of multiple comparisons. Short practice: Calculate the six-test cutoff and identify which supplied p-values reject. Why must the team count every planned comparison rather than report only its smallest p-value?.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