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ai-7/23</w:t>
      </w:r>
    </w:p>
    <w:p>
      <w:pPr>
        <w:pStyle w:val="Title"/>
      </w:pPr>
      <w:r>
        <w:t>Power and resource tradeoffs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Power and resource tradeoffs.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Power and resource tradeoffs.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One hundred alternative trials detect70 at n30 and85 at n60; unit cost2.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For a fixed alternative100 simulations detect62 times at n20 and83 at n40. Per-unit cost3 credits.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Power estimates do not repair biased sampling or establish the probability a particular hypothesis is true.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One hundred alternative trials detect70 at n30 and85 at n60; unit cost2.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Power and resource tradeoffs</w:t>
      </w:r>
    </w:p>
    <w:p>
      <w:r>
        <w:t>A simulated detection-and-resource trade-off. A fictional simulation repeats a study under the same assumed alternative effect, using two independent-unit sample sizes.</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r>
        <w:t>Calculate both simulated detection fractions and resource costs. What additional detection is observed for the extra forty units, and does that establish power for an actual classroom study?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simulated detection-and-resource trade-off. A fictional simulation repeats a study under the same assumed alternative effect, using two independent-unit sample sizes.</w:t>
      </w:r>
    </w:p>
    <w:p>
      <w:pPr>
        <w:pStyle w:val="Heading3"/>
      </w:pPr>
      <w:r>
        <w:t>Practice 1: explain the deciding evidence</w:t>
      </w:r>
    </w:p>
    <w:p>
      <w:r>
        <w:t>Which labelled step matches this detail? Doubling cost adds 20 percentage points of simulated detection under these assumptions.</w:t>
      </w:r>
    </w:p>
    <w:p>
      <w:r>
        <w:t>1. Compare the trade-off</w:t>
      </w:r>
    </w:p>
    <w:p>
      <w:r>
        <w:t>2. Estimate simulated detection</w:t>
      </w:r>
    </w:p>
    <w:p>
      <w:r>
        <w:t>3. Calculate design cost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the trade-off Doubling cost adds 20 percentage points of simulated detection under these assumptions. 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Practice 2: explain the deciding evidence</w:t>
      </w:r>
    </w:p>
    <w:p>
      <w:r>
        <w:t>Changed-case practice: Change the assumed effect or variability but keep the sample sizes. Which conclusion is supported by the supplied facts?</w:t>
      </w:r>
    </w:p>
    <w:p>
      <w:r>
        <w:t>1. This one example guarantees correct results for every future input.</w:t>
      </w:r>
    </w:p>
    <w:p>
      <w:r>
        <w:t>2. We can decide the result without examining the changed input or the procedure.</w:t>
      </w:r>
    </w:p>
    <w:p>
      <w:r>
        <w:t>3. The detection fractions need new simulation; the resource costs stay 40 and 80.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detection fractions need new simulation; the resource costs stay 40 and 80. Power depends on the data-generating assumptions, while this stated unit-cost calculation does not.</w:t>
      </w:r>
    </w:p>
    <w:p>
      <w:pPr>
        <w:pStyle w:val="Heading3"/>
      </w:pPr>
      <w:r>
        <w:t>Repair a missing building block</w:t>
      </w:r>
    </w:p>
    <w:p>
      <w:r>
        <w:t>Review Pilot experiments (ai-7/22). Goal: Explain the mechanism and terminology of pilot experiments. Short practice: Calculate reviewer agreement on the four pilot answers. What can the disagreement improve, and why are those revised practice answers not untouched final evidence?. Return to this week and explain what you changed.</w:t>
      </w:r>
    </w:p>
    <w:p>
      <w:r>
        <w:t>Review Privacy and data governance (ai-7/20). Goal: Explain the mechanism and terminology of privacy and data governance. Short practice: Point to the analysis table and the restricted identity key. Why are the codes pseudonymous rather than guaranteed anonymous, and what changes if the key is published?. Return to this week and explain what you changed.</w:t>
      </w:r>
    </w:p>
    <w:p>
      <w:r>
        <w:t>Review Sensitivity analysis (ai-7/17). Goal: Explain the mechanism and terminology of sensitivity analysis. Short practice: Classify 0.4, 0.6 and 0.8 at cutoffs 0.5, 0.7 and exactly 0.6. Which equality rule decides the boundary, and can these unlabelled scores identify the best cutoff?.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