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ai-7/27</w:t>
      </w:r>
    </w:p>
    <w:p>
      <w:pPr>
        <w:pStyle w:val="Title"/>
      </w:pPr>
      <w:r>
        <w:t>Robustness across conditions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Robustness across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Robustness across conditions.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Baseline/candidate on conditionA:6/8, 7/8; conditionB:5/8, 4/8. Compare paired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Method passes9/10 on current sources and5/10 on outdated sources.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Robustness is bounded by the tested variations and independent evidence policy.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Baseline/candidate on conditionA:6/8, 7/8; conditionB:5/8, 4/8. Compare paired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Robustness across conditions</w:t>
      </w:r>
    </w:p>
    <w:p>
      <w:r>
        <w:t>Check robustness across conditions. A fixed classifier is tested separately on indoor and shaded outdoor cases.</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r>
        <w:t>Calculate indoor, outdoor and combined rates. Which relevant weakness disappears from view when only the combined rate is reported?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Check robustness across conditions. A fixed classifier is tested separately on indoor and shaded outdoor cases.</w:t>
      </w:r>
    </w:p>
    <w:p>
      <w:pPr>
        <w:pStyle w:val="Heading3"/>
      </w:pPr>
      <w:r>
        <w:t>Practice 1: explain the deciding evidence</w:t>
      </w:r>
    </w:p>
    <w:p>
      <w:r>
        <w:t>Which labelled step matches this detail? The large observed gap motivates investigation rather than claiming condition independence.</w:t>
      </w:r>
    </w:p>
    <w:p>
      <w:r>
        <w:t>1. Name both slices</w:t>
      </w:r>
    </w:p>
    <w:p>
      <w:r>
        <w:t>2. Compute rates</w:t>
      </w:r>
    </w:p>
    <w:p>
      <w:r>
        <w:t>3. Bound robustness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robustness The large observed gap motivates investigation rather than claiming condition independence. Robustness asks whether behaviour survives relevant changes in conditions. A total score can hide a weak slice; keep the scenario and denominator visible.</w:t>
      </w:r>
    </w:p>
    <w:p>
      <w:pPr>
        <w:pStyle w:val="Heading3"/>
      </w:pPr>
      <w:r>
        <w:t>Practice 2: explain the deciding evidence</w:t>
      </w:r>
    </w:p>
    <w:p>
      <w:r>
        <w:t>Changed-case practice: Report only the combined 10/16=62.5%. Which conclusion is supported by the supplied facts?</w:t>
      </w:r>
    </w:p>
    <w:p>
      <w:r>
        <w:t>1. The arithmetic is correct, but the condition gap becomes hidden.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arithmetic is correct, but the condition gap becomes hidden. Combining records discards the slice distinction relevant to the deployment goal.</w:t>
      </w:r>
    </w:p>
    <w:p>
      <w:pPr>
        <w:pStyle w:val="Heading3"/>
      </w:pPr>
      <w:r>
        <w:t>Repair a missing building block</w:t>
      </w:r>
    </w:p>
    <w:p>
      <w:r>
        <w:t>Review Inspecting failures and anomalies (ai-7/26). Goal: Explain the mechanism and terminology of inspecting failures and anomalies. Short practice: Calculate mean and median for 2,2,2,10. What does the timeout log establish, and why is deleting that inconvenient record incompatible with the stated plan?. Return to this week and explain what you changed.</w:t>
      </w:r>
    </w:p>
    <w:p>
      <w:r>
        <w:t>Review Reproducible environment and records (ai-7/24). Goal: Explain the mechanism and terminology of reproducible environment and records. Short practice: Trace the recorded mean for 2,4,6 and its changed result for 2,4,9. Which artefacts must accompany the output so another team can identify the exact run?. Return to this week and explain what you changed.</w:t>
      </w:r>
    </w:p>
    <w:p>
      <w:r>
        <w:t>Review Predefining an analysis plan (ai-7/21). Goal: Explain the mechanism and terminology of predefining an analysis plan. Short practice: Apply the recorded exclusion rule. Can two readable model failures be removed, and how must a necessary later plan change be disclosed?.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