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ai-7/29</w:t>
      </w:r>
    </w:p>
    <w:p>
      <w:pPr>
        <w:pStyle w:val="Title"/>
      </w:pPr>
      <w:r>
        <w:t>Figures that preserve evidence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Negative results and claim revision</w:t>
      </w:r>
    </w:p>
    <w:p>
      <w:r>
        <w:t>Without opening the old lesson, explain one key idea from Negative results and claim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Figures that preserve evidence.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Figures that preserve evidence.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CountsA8/10, B9/15 are plotted as8 versus9 without denominators. Correct.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RatesA80%, B82% are plotted on bars starting79%, making B look several times larger.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Visual choices must reflect the intended metric and cannot imply causal certainty from association.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CountsA8/10, B9/15 are plotted as8 versus9 without denominators.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Figures that preserve evidence</w:t>
      </w:r>
    </w:p>
    <w:p>
      <w:r>
        <w:t>Draw bars that preserve the comparison. A report plots correct counts for two versions on the same ten cases.</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r>
        <w:t>Draw count bars for 6/10 and 8/10 using the stated axis. Why must the denominator and fixed task context remain visible, and what distortion arises from an undisclosed axis start at five?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Draw bars that preserve the comparison. A report plots correct counts for two versions on the same ten cases.</w:t>
      </w:r>
    </w:p>
    <w:p>
      <w:pPr>
        <w:pStyle w:val="Heading3"/>
      </w:pPr>
      <w:r>
        <w:t>Practice 1: explain the deciding evidence</w:t>
      </w:r>
    </w:p>
    <w:p>
      <w:r>
        <w:t>Which labelled step matches this detail? Note the fixed tasks and absence of a significance test.</w:t>
      </w:r>
    </w:p>
    <w:p>
      <w:r>
        <w:t>1. Draw honest bars</w:t>
      </w:r>
    </w:p>
    <w:p>
      <w:r>
        <w:t>2. Label the scale</w:t>
      </w:r>
    </w:p>
    <w:p>
      <w:r>
        <w:t>3. Keep context nearby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context nearby Note the fixed tasks and absence of a significance test. Figures make evidence easier to inspect when labels and scales preserve meaning. A dramatic-looking visual cannot supply missing uncertainty or representativeness.</w:t>
      </w:r>
    </w:p>
    <w:p>
      <w:pPr>
        <w:pStyle w:val="Heading3"/>
      </w:pPr>
      <w:r>
        <w:t>Practice 2: explain the deciding evidence</w:t>
      </w:r>
    </w:p>
    <w:p>
      <w:r>
        <w:t>Changed-case practice: Start the axis at 5 without making the truncation obvious. Which conclusion is supported by the supplied facts?</w:t>
      </w:r>
    </w:p>
    <w:p>
      <w:r>
        <w:t>1. This one example guarantees correct results for every future input.</w:t>
      </w:r>
    </w:p>
    <w:p>
      <w:r>
        <w:t>2. The bars exaggerate the visual contrast and require correction or clear disclosure.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bars exaggerate the visual contrast and require correction or clear disclosure. Visible heights no longer correspond to the full count scale.</w:t>
      </w:r>
    </w:p>
    <w:p>
      <w:pPr>
        <w:pStyle w:val="Heading3"/>
      </w:pPr>
      <w:r>
        <w:t>Repair a missing building block</w:t>
      </w:r>
    </w:p>
    <w:p>
      <w:r>
        <w:t>Review Negative results and claim revision (ai-7/28). Goal: Explain the mechanism and terminology of negative results and claim revision. Short practice: Does a 6/8 tie support the prediction that B scores higher? Explain why one newly selected favourable demonstration does not replace the original result or prove equivalence.. Return to this week and explain what you changed.</w:t>
      </w:r>
    </w:p>
    <w:p>
      <w:r>
        <w:t>Review Inspecting failures and anomalies (ai-7/26). Goal: Explain the mechanism and terminology of inspecting failures and anomalies. Short practice: Calculate mean and median for 2,2,2,10. What does the timeout log establish, and why is deleting that inconvenient record incompatible with the stated plan?. Return to this week and explain what you changed.</w:t>
      </w:r>
    </w:p>
    <w:p>
      <w:r>
        <w:t>Review Power and resource tradeoffs (ai-7/23). Goal: Explain the mechanism and terminology of power and resource tradeoffs. Short practice: Calculate both simulated detection fractions and resource costs. What additional detection is observed for the extra forty units, and does that establish power for an actual classroom study?.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