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ai-7/30</w:t>
      </w:r>
    </w:p>
    <w:p>
      <w:pPr>
        <w:pStyle w:val="Title"/>
      </w:pPr>
      <w:r>
        <w:t>Writing the methods section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the methods section.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Methods says used AI on data and got good scores; code and split are absent.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Methods names a dataset and metric, but not whether near-duplicate sources cross the split. What detail matters?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the methods section</w:t>
      </w:r>
    </w:p>
    <w:p>
      <w:r>
        <w:t>Methods that another team can repeat. A paper describes a toy string-classification experiment using a stated length rule.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r>
        <w:t>Apply the inclusive four-character rule to oak, pine and willow. Which label changes under greater-than-four, and what method detail allows another team to reproduce the distinction?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Methods that another team can repeat. A paper describes a toy string-classification experiment using a stated length rule.</w:t>
      </w:r>
    </w:p>
    <w:p>
      <w:pPr>
        <w:pStyle w:val="Heading3"/>
      </w:pPr>
      <w:r>
        <w:t>Practice 1: explain the deciding evidence</w:t>
      </w:r>
    </w:p>
    <w:p>
      <w:r>
        <w:t>Which labelled step matches this detail? Oak is short; pine and willow are long.</w:t>
      </w:r>
    </w:p>
    <w:p>
      <w:r>
        <w:t>1. State procedure</w:t>
      </w:r>
    </w:p>
    <w:p>
      <w:r>
        <w:t>2. Record exact inputs</w:t>
      </w:r>
    </w:p>
    <w:p>
      <w:r>
        <w:t>3. Show resulting labels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Show resulting labels Oak is short; pine and willow are long. A methods section specifies inputs, processing, boundaries, versions and scoring. Precise procedures allow a reader to repeat the computation instead of inferring it from the final labels.</w:t>
      </w:r>
    </w:p>
    <w:p>
      <w:pPr>
        <w:pStyle w:val="Heading3"/>
      </w:pPr>
      <w:r>
        <w:t>Practice 2: explain the deciding evidence</w:t>
      </w:r>
    </w:p>
    <w:p>
      <w:r>
        <w:t>Changed-case practice: Change the rule to length greater than 4. Which conclusion is supported by the supplied facts?</w:t>
      </w:r>
    </w:p>
    <w:p>
      <w:r>
        <w:t>1. We can decide the result without examining the changed input or the procedure.</w:t>
      </w:r>
    </w:p>
    <w:p>
      <w:r>
        <w:t>2. Pine becomes short; willow stays long and oak stays short.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Pine becomes short; willow stays long and oak stays short. The equality case distinguishes the two procedures.</w:t>
      </w:r>
    </w:p>
    <w:p>
      <w:pPr>
        <w:pStyle w:val="Heading3"/>
      </w:pPr>
      <w:r>
        <w:t>Repair a missing building block</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