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ai-2/20</w:t>
      </w:r>
    </w:p>
    <w:p>
      <w:pPr>
        <w:pStyle w:val="Title"/>
      </w:pPr>
      <w:r>
        <w:t>Repair Bias in Data</w:t>
      </w:r>
    </w:p>
    <w:p>
      <w:r>
        <w:t>Project: Transparent Book Recommender</w:t>
      </w:r>
    </w:p>
    <w:p>
      <w:pPr>
        <w:pStyle w:val="Heading1"/>
      </w:pPr>
      <w:r>
        <w:t>Combine the counts. Inspect who entered them. Repair the process.</w:t>
      </w:r>
    </w:p>
    <w:p>
      <w:r>
        <w:t>Separate respondent arithmetic, weighting assumptions, collection changes and causal explanations.</w:t>
      </w:r>
    </w:p>
    <w:p>
      <w:r>
        <w:t>Group counts → unequal respondent mix → separate weighting illustration → documented repair and limits.</w:t>
      </w:r>
    </w:p>
    <w:p>
      <w:pPr>
        <w:pStyle w:val="Heading1"/>
      </w:pPr>
      <w:r>
        <w:t>01. Does a bigger sample fix a restricted collection process?</w:t>
      </w:r>
    </w:p>
    <w:p>
      <w:r>
        <w:t>Combine observed counts correctly and keep the population claim separate.</w:t>
      </w:r>
    </w:p>
    <w:p>
      <w:pPr>
        <w:pStyle w:val="Heading2"/>
      </w:pPr>
      <w:r>
        <w:t>Your learning goals</w:t>
      </w:r>
    </w:p>
    <w:p>
      <w:pPr>
        <w:spacing w:line="336" w:lineRule="auto" w:after="180"/>
      </w:pPr>
      <w:r>
        <w:rPr>
          <w:b w:val="0"/>
        </w:rPr>
        <w:t xml:space="preserve">I can identify selection and coverage </w:t>
      </w:r>
      <w:r>
        <w:rPr>
          <w:b/>
        </w:rPr>
        <w:t>bias</w:t>
      </w:r>
      <w:r>
        <w:rPr>
          <w:b w:val="0"/>
        </w:rPr>
        <w:t>.</w:t>
      </w:r>
    </w:p>
    <w:p>
      <w:pPr>
        <w:spacing w:line="336" w:lineRule="auto" w:after="180"/>
      </w:pPr>
      <w:r>
        <w:rPr>
          <w:b w:val="0"/>
        </w:rPr>
        <w:t>I can compare groups before combining results.</w:t>
      </w:r>
    </w:p>
    <w:p>
      <w:pPr>
        <w:spacing w:line="336" w:lineRule="auto" w:after="180"/>
      </w:pPr>
      <w:r>
        <w:rPr>
          <w:b w:val="0"/>
        </w:rPr>
        <w:t xml:space="preserve">I can explain why more </w:t>
      </w:r>
      <w:r>
        <w:rPr>
          <w:b/>
        </w:rPr>
        <w:t>bias</w:t>
      </w:r>
      <w:r>
        <w:rPr>
          <w:b w:val="0"/>
        </w:rPr>
        <w:t>ed data may not help.</w:t>
      </w:r>
    </w:p>
    <w:p>
      <w:pPr>
        <w:pStyle w:val="Heading2"/>
      </w:pPr>
      <w:r>
        <w:t>Recall population versus sample</w:t>
      </w:r>
    </w:p>
    <w:p>
      <w:pPr>
        <w:pStyle w:val="ListBullet"/>
      </w:pPr>
      <w:r>
        <w:t>Close your notes first. A rough first answer helps us choose the right starting point; it is not a score for your ability.</w:t>
      </w:r>
    </w:p>
    <w:p>
      <w:pPr>
        <w:pStyle w:val="ListBullet"/>
      </w:pPr>
      <w:r>
        <w:t>What is the difference between a population and a sample?</w:t>
      </w:r>
    </w:p>
    <w:p>
      <w:pPr>
        <w:pStyle w:val="Heading2"/>
      </w:pPr>
      <w:r>
        <w:t>Your end goal</w:t>
      </w:r>
    </w:p>
    <w:p>
      <w:pPr>
        <w:spacing w:line="336" w:lineRule="auto" w:after="180"/>
      </w:pPr>
      <w:r>
        <w:rPr>
          <w:b w:val="0"/>
        </w:rPr>
        <w:t xml:space="preserve">By the end, I can distinguish a </w:t>
      </w:r>
      <w:r>
        <w:rPr>
          <w:b/>
        </w:rPr>
        <w:t>bias</w:t>
      </w:r>
      <w:r>
        <w:rPr>
          <w:b w:val="0"/>
        </w:rPr>
        <w:t xml:space="preserve">ed collection </w:t>
      </w:r>
      <w:r>
        <w:rPr>
          <w:b/>
        </w:rPr>
        <w:t>process</w:t>
      </w:r>
      <w:r>
        <w:rPr>
          <w:b w:val="0"/>
        </w:rPr>
        <w:t xml:space="preserve"> from a mere small dataset.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Sampling and Representation. Give an example and a mistake that the idea helps you avoid.</w:t>
      </w:r>
    </w:p>
    <w:p>
      <w:pPr>
        <w:spacing w:line="336" w:lineRule="auto" w:after="180"/>
      </w:pPr>
      <w:r>
        <w:rPr>
          <w:b w:val="0"/>
        </w:rPr>
        <w:t>Without opening the old lesson, explain one key idea from Noise and Outliers. Give an example and a mistake that the idea helps you avoid.</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20: Repair </w:t>
      </w:r>
      <w:r>
        <w:rPr>
          <w:b/>
        </w:rPr>
        <w:t>Bias</w:t>
      </w:r>
      <w:r>
        <w:rPr>
          <w:b w:val="0"/>
        </w:rPr>
        <w:t xml:space="preserve"> in Data</w:t>
      </w:r>
    </w:p>
    <w:p>
      <w:pPr>
        <w:spacing w:line="336" w:lineRule="auto" w:after="180"/>
      </w:pPr>
      <w:r>
        <w:rPr>
          <w:b w:val="0"/>
        </w:rPr>
        <w:t>Fairness work changes data, features, tests, or use conditions, then rechecks outcomes.</w:t>
      </w:r>
    </w:p>
    <w:p>
      <w:r>
        <w:drawing>
          <wp:inline xmlns:a="http://schemas.openxmlformats.org/drawingml/2006/main" xmlns:pic="http://schemas.openxmlformats.org/drawingml/2006/picture">
            <wp:extent cx="2942705" cy="2942705"/>
            <wp:docPr id="1" name="Picture 1" descr="Week 20 illustration: Repair Bias in Data"/>
            <wp:cNvGraphicFramePr>
              <a:graphicFrameLocks noChangeAspect="1"/>
            </wp:cNvGraphicFramePr>
            <a:graphic>
              <a:graphicData uri="http://schemas.openxmlformats.org/drawingml/2006/picture">
                <pic:pic>
                  <pic:nvPicPr>
                    <pic:cNvPr id="0" name="c6d959ef724d2d4ff8b43c0efc389c4353ab8c5f5f834d10c592784acb6e397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Redesign an imbalanced speech dataset and specify </w:t>
      </w:r>
      <w:r>
        <w:rPr>
          <w:b/>
        </w:rPr>
        <w:t>retest</w:t>
      </w:r>
      <w:r>
        <w:rPr>
          <w:b w:val="0"/>
        </w:rPr>
        <w:t>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Start with two groups and their observed replies</w:t>
      </w:r>
    </w:p>
    <w:p>
      <w:r>
        <w:t>The collection process determines who can enter the data.</w:t>
      </w:r>
    </w:p>
    <w:p>
      <w:pPr>
        <w:pStyle w:val="Heading2"/>
      </w:pPr>
      <w:r>
        <w:t>The complete opening poll counts</w:t>
      </w:r>
    </w:p>
    <w:p>
      <w:pPr>
        <w:spacing w:line="336" w:lineRule="auto" w:after="180"/>
      </w:pPr>
      <w:r>
        <w:rPr>
          <w:b w:val="0"/>
        </w:rPr>
        <w:t>A fictional poll has 8 Yes among 10 club respondents and 2 Yes among 10 other respondents. If only club members are surveyed, an 80 percent result misses a group with a different pattern.</w:t>
      </w:r>
    </w:p>
    <w:p>
      <w:pPr>
        <w:spacing w:line="336" w:lineRule="auto" w:after="180"/>
      </w:pPr>
      <w:r>
        <w:rPr>
          <w:b w:val="0"/>
        </w:rPr>
        <w:t>Examine who is included before treating a larger sample as better.</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epair Bias in Data"/>
            <wp:cNvGraphicFramePr>
              <a:graphicFrameLocks noChangeAspect="1"/>
            </wp:cNvGraphicFramePr>
            <a:graphic>
              <a:graphicData uri="http://schemas.openxmlformats.org/drawingml/2006/picture">
                <pic:pic>
                  <pic:nvPicPr>
                    <pic:cNvPr id="0" name="c6d959ef724d2d4ff8b43c0efc389c4353ab8c5f5f834d10c592784acb6e397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repair </w:t>
      </w:r>
      <w:r>
        <w:rPr>
          <w:b/>
        </w:rPr>
        <w:t>bias</w:t>
      </w:r>
      <w:r>
        <w:rPr>
          <w:b w:val="0"/>
        </w:rPr>
        <w:t xml:space="preserve"> in data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Combine numerators and denominators before dividing</w:t>
      </w:r>
    </w:p>
    <w:p>
      <w:r>
        <w:t>A correct respondent rate is not automatically a population estimate.</w:t>
      </w:r>
    </w:p>
    <w:p>
      <w:pPr>
        <w:pStyle w:val="Heading2"/>
      </w:pPr>
      <w:r>
        <w:t>Predict and execute the complete count script</w:t>
      </w:r>
    </w:p>
    <w:p>
      <w:r>
        <w:rPr>
          <w:rFonts w:ascii="Courier New" w:hAnsi="Courier New"/>
          <w:sz w:val="18"/>
        </w:rPr>
        <w:t>club_yes, club_n = 8, 10</w:t>
        <w:br/>
        <w:t>other_yes, other_n = 2, 10</w:t>
        <w:br/>
        <w:t>print(club_yes / club_n)</w:t>
        <w:br/>
        <w:t>print(other_yes / other_n)</w:t>
        <w:br/>
        <w:t>print((club_yes + other_yes) / (club_n + other_n))</w:t>
      </w:r>
    </w:p>
    <w:p>
      <w:pPr>
        <w:pStyle w:val="Heading2"/>
      </w:pPr>
      <w:r>
        <w:t>Read each group and the combined sample</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Club sample</w:t>
            </w:r>
          </w:p>
        </w:tc>
        <w:tc>
          <w:tcPr>
            <w:tcW w:type="dxa" w:w="3408"/>
          </w:tcPr>
          <w:p>
            <w:r>
              <w:t>8 of 10</w:t>
            </w:r>
          </w:p>
        </w:tc>
        <w:tc>
          <w:tcPr>
            <w:tcW w:type="dxa" w:w="3408"/>
          </w:tcPr>
          <w:p>
            <w:r>
              <w:t>80 percent</w:t>
            </w:r>
          </w:p>
        </w:tc>
      </w:tr>
      <w:tr>
        <w:tc>
          <w:tcPr>
            <w:tcW w:type="dxa" w:w="3408"/>
          </w:tcPr>
          <w:p>
            <w:r>
              <w:t>Other sample</w:t>
            </w:r>
          </w:p>
        </w:tc>
        <w:tc>
          <w:tcPr>
            <w:tcW w:type="dxa" w:w="3408"/>
          </w:tcPr>
          <w:p>
            <w:r>
              <w:t>2 of 10</w:t>
            </w:r>
          </w:p>
        </w:tc>
        <w:tc>
          <w:tcPr>
            <w:tcW w:type="dxa" w:w="3408"/>
          </w:tcPr>
          <w:p>
            <w:r>
              <w:t>20 percent</w:t>
            </w:r>
          </w:p>
        </w:tc>
      </w:tr>
      <w:tr>
        <w:tc>
          <w:tcPr>
            <w:tcW w:type="dxa" w:w="3408"/>
          </w:tcPr>
          <w:p>
            <w:r>
              <w:t>Combined sample</w:t>
            </w:r>
          </w:p>
        </w:tc>
        <w:tc>
          <w:tcPr>
            <w:tcW w:type="dxa" w:w="3408"/>
          </w:tcPr>
          <w:p>
            <w:r>
              <w:t>10 of 20</w:t>
            </w:r>
          </w:p>
        </w:tc>
        <w:tc>
          <w:tcPr>
            <w:tcW w:type="dxa" w:w="3408"/>
          </w:tcPr>
          <w:p>
            <w:r>
              <w:t>50 percent</w:t>
            </w:r>
          </w:p>
        </w:tc>
      </w:tr>
    </w:tbl>
    <w:p>
      <w:r>
        <w:t>Read each row from left to right and connect the evidence to the stated rule.</w:t>
      </w:r>
    </w:p>
    <w:p>
      <w:pPr>
        <w:spacing w:line="336" w:lineRule="auto" w:after="180"/>
      </w:pPr>
      <w:r>
        <w:rPr>
          <w:b w:val="0"/>
        </w:rPr>
        <w:t>The combined observed sample has 50 percent Yes. This is not automatically a population estimate: we also need to know how the groups were selected and how many people each represents.</w:t>
      </w:r>
    </w:p>
    <w:p>
      <w:pPr>
        <w:spacing w:line="336" w:lineRule="auto" w:after="180"/>
      </w:pPr>
      <w:r>
        <w:rPr>
          <w:b w:val="0"/>
        </w:rPr>
        <w:t>Do not average percentages without considering their denominators.</w:t>
      </w:r>
    </w:p>
    <w:p>
      <w:pPr>
        <w:pStyle w:val="Heading2"/>
      </w:pPr>
      <w:r>
        <w:t>Explain why group size matters</w:t>
      </w:r>
    </w:p>
    <w:p>
      <w:pPr>
        <w:spacing w:line="336" w:lineRule="auto" w:after="180"/>
      </w:pPr>
      <w:r>
        <w:rPr>
          <w:b w:val="0"/>
        </w:rPr>
        <w:t>The club has 8 Yes out of 10, and the other group has 2 Yes out of 10. Combine the Yes counts to get 10 and combine the response counts to get 20; the combined observed rate is 10 divided by 20, or 50 percent.</w:t>
      </w:r>
    </w:p>
    <w:p>
      <w:pPr>
        <w:spacing w:line="336" w:lineRule="auto" w:after="180"/>
      </w:pPr>
      <w:r>
        <w:rPr>
          <w:b w:val="0"/>
        </w:rPr>
        <w:t>When group sizes differ, simply averaging their percentages can give the wrong combined rate. A correct combined calculation still describes the collected sample, not automatically the whole school.</w:t>
      </w:r>
    </w:p>
    <w:p>
      <w:pPr>
        <w:pStyle w:val="Heading2"/>
      </w:pPr>
      <w:r>
        <w:t>Point to the deciding denominator</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epair Bias in Data"/>
            <wp:cNvGraphicFramePr>
              <a:graphicFrameLocks noChangeAspect="1"/>
            </wp:cNvGraphicFramePr>
            <a:graphic>
              <a:graphicData uri="http://schemas.openxmlformats.org/drawingml/2006/picture">
                <pic:pic>
                  <pic:nvPicPr>
                    <pic:cNvPr id="0" name="875da30b21fbe2b31b90bbde46dac2155f3bbec33115a3aefaaeb477b5dd913b.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epair Bias in Data"/>
            <wp:cNvGraphicFramePr>
              <a:graphicFrameLocks noChangeAspect="1"/>
            </wp:cNvGraphicFramePr>
            <a:graphic>
              <a:graphicData uri="http://schemas.openxmlformats.org/drawingml/2006/picture">
                <pic:pic>
                  <pic:nvPicPr>
                    <pic:cNvPr id="0" name="5a58a0fb9fb8fb8ebeadc11a3927dc722ae17abadb66e5dff5f846a9fcb768d3.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epair Bias in Data"/>
            <wp:cNvGraphicFramePr>
              <a:graphicFrameLocks noChangeAspect="1"/>
            </wp:cNvGraphicFramePr>
            <a:graphic>
              <a:graphicData uri="http://schemas.openxmlformats.org/drawingml/2006/picture">
                <pic:pic>
                  <pic:nvPicPr>
                    <pic:cNvPr id="0" name="4c04fe2b773248bcaf36fba35482574205a43c4e78731a47e2b96309e1e42556.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Combine counts, not just percentages</w:t>
      </w:r>
    </w:p>
    <w:p>
      <w:pPr>
        <w:pStyle w:val="Heading3"/>
      </w:pPr>
      <w:r>
        <w:t>Connect the picture and the explanation</w:t>
      </w:r>
    </w:p>
    <w:p>
      <w:pPr>
        <w:pStyle w:val="Heading1"/>
      </w:pPr>
      <w:r>
        <w:t>04. Choose a repair that changes coverage</w:t>
      </w:r>
    </w:p>
    <w:p>
      <w:r>
        <w:t>Copying rows or adding the same group is not new diverse evidence.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Recruit more club volunteers only.</w:t>
      </w:r>
    </w:p>
    <w:p>
      <w:pPr>
        <w:pStyle w:val="Heading2"/>
      </w:pPr>
      <w:r>
        <w:t>Check after predicting · reference / check after trying</w:t>
      </w:r>
    </w:p>
    <w:p>
      <w:pPr>
        <w:spacing w:line="336" w:lineRule="auto" w:after="180"/>
      </w:pPr>
      <w:r>
        <w:rPr>
          <w:b/>
        </w:rPr>
        <w:t>Prediction</w:t>
      </w:r>
      <w:r>
        <w:rPr>
          <w:b w:val="0"/>
        </w:rPr>
        <w:t>: Sample size increases without fixing missing representation of other learners.</w:t>
      </w:r>
    </w:p>
    <w:p>
      <w:pPr>
        <w:spacing w:line="336" w:lineRule="auto" w:after="180"/>
      </w:pPr>
      <w:r>
        <w:rPr>
          <w:b w:val="0"/>
        </w:rPr>
        <w:t>Reason: The added respondents come from the already overrepresented group.</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Recount an uneven sample, then inspect a separate volunteer poll</w:t>
      </w:r>
    </w:p>
    <w:p>
      <w:r>
        <w:t>A weighted illustration needs assumptions that arithmetic cannot establish.</w:t>
      </w:r>
    </w:p>
    <w:p>
      <w:pPr>
        <w:pStyle w:val="Heading2"/>
      </w:pPr>
      <w:r>
        <w:t>Name the three different count records</w:t>
      </w:r>
    </w:p>
    <w:p>
      <w:pPr>
        <w:spacing w:line="336" w:lineRule="auto" w:after="180"/>
      </w:pPr>
      <w:r>
        <w:rPr>
          <w:b w:val="0"/>
        </w:rPr>
        <w:t>Keep these examples separate: opening respondents8/10 club and2/10 other; changed-mix exercise72/90 and2/10; pictured comic poll12/15 and3/15, with a separate known grade composition30 club/90 other. Only the pictured scenario supplies grade group sizes for a weighting illustration.</w:t>
      </w:r>
    </w:p>
    <w:p>
      <w:pPr>
        <w:pStyle w:val="Heading2"/>
      </w:pPr>
      <w:r>
        <w:t>Try the changed-mix proportion</w:t>
      </w:r>
    </w:p>
    <w:p>
      <w:pPr>
        <w:pStyle w:val="Heading3"/>
      </w:pPr>
      <w:r>
        <w:t>Suppose 90 club respondents give 72 Yes and 10 others give 2 Yes. What is the combined observed proportion?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the separate comic-poll facts</w:t>
      </w:r>
    </w:p>
    <w:p>
      <w:pPr>
        <w:spacing w:line="336" w:lineRule="auto" w:after="180"/>
      </w:pPr>
      <w:r>
        <w:rPr>
          <w:b w:val="0"/>
        </w:rPr>
        <w:t>A fictional school polls learners about adding comic recommendations.</w:t>
      </w:r>
    </w:p>
    <w:p>
      <w:pPr>
        <w:spacing w:line="336" w:lineRule="auto" w:after="180"/>
      </w:pPr>
      <w:r>
        <w:rPr>
          <w:b w:val="0"/>
        </w:rPr>
        <w:t>Library-club respondents: 12 Yes out of 15. Other respondents: 3 Yes out of 15.</w:t>
      </w:r>
    </w:p>
    <w:p>
      <w:pPr>
        <w:spacing w:line="336" w:lineRule="auto" w:after="180"/>
      </w:pPr>
      <w:r>
        <w:rPr>
          <w:b w:val="0"/>
        </w:rPr>
        <w:t>The full grade has 30 club members and 90 others. These respondents were volunteers, not random selections.</w:t>
      </w:r>
    </w:p>
    <w:p>
      <w:pPr>
        <w:pStyle w:val="Heading2"/>
      </w:pPr>
      <w:r>
        <w:t>Trace respondent rates and grade representation</w:t>
      </w:r>
    </w:p>
    <w:p>
      <w:r>
        <w:drawing>
          <wp:inline xmlns:a="http://schemas.openxmlformats.org/drawingml/2006/main" xmlns:pic="http://schemas.openxmlformats.org/drawingml/2006/picture">
            <wp:extent cx="5486400" cy="4160520"/>
            <wp:docPr id="14" name="Picture 14" descr="Group rates: Club:12/15=80%; others:3/15=20%. → Respondent total: 15 Yes out of 30 respondents =50%. → Check representation: Respondents split 50/50, but the grade is 25% club and 75% other. → Repair collection: Plan invitations that fairly cover the whole grade, document selection and report nonresponse by group."/>
            <wp:cNvGraphicFramePr>
              <a:graphicFrameLocks noChangeAspect="1"/>
            </wp:cNvGraphicFramePr>
            <a:graphic>
              <a:graphicData uri="http://schemas.openxmlformats.org/drawingml/2006/picture">
                <pic:pic>
                  <pic:nvPicPr>
                    <pic:cNvPr id="0" name="academy-story-ai-2-20-02.png"/>
                    <pic:cNvPicPr/>
                  </pic:nvPicPr>
                  <pic:blipFill>
                    <a:blip r:embed="rId17"/>
                    <a:stretch>
                      <a:fillRect/>
                    </a:stretch>
                  </pic:blipFill>
                  <pic:spPr>
                    <a:xfrm>
                      <a:off x="0" y="0"/>
                      <a:ext cx="5486400" cy="4160520"/>
                    </a:xfrm>
                    <a:prstGeom prst="rect"/>
                  </pic:spPr>
                </pic:pic>
              </a:graphicData>
            </a:graphic>
          </wp:inline>
        </w:drawing>
      </w:r>
    </w:p>
    <w:p>
      <w:pPr>
        <w:spacing w:line="336" w:lineRule="auto" w:after="180"/>
      </w:pPr>
      <w:r>
        <w:rPr>
          <w:b w:val="0"/>
        </w:rPr>
        <w:t>The combined respondent result gives club members more influence than their share of the grade.</w:t>
      </w:r>
    </w:p>
    <w:p>
      <w:pPr>
        <w:spacing w:line="336" w:lineRule="auto" w:after="180"/>
      </w:pPr>
      <w:r>
        <w:rPr>
          <w:b w:val="0"/>
        </w:rPr>
        <w:t>A weighted illustration using 25% and 75% gives 0.25×</w:t>
      </w:r>
      <w:r>
        <w:rPr>
          <w:b/>
        </w:rPr>
        <w:t>80%</w:t>
      </w:r>
      <w:r>
        <w:rPr>
          <w:b w:val="0"/>
        </w:rPr>
        <w:t>+0.75×20%=35%, but volunteers may differ within each group, so weighting alone does not establish the true grade preference.</w:t>
      </w:r>
    </w:p>
    <w:p>
      <w:pPr>
        <w:spacing w:line="336" w:lineRule="auto" w:after="180"/>
      </w:pPr>
      <w:r>
        <w:rPr>
          <w:b w:val="0"/>
        </w:rPr>
        <w:t xml:space="preserve">Improve the collection </w:t>
      </w:r>
      <w:r>
        <w:rPr>
          <w:b/>
        </w:rPr>
        <w:t>process</w:t>
      </w:r>
      <w:r>
        <w:rPr>
          <w:b w:val="0"/>
        </w:rPr>
        <w:t xml:space="preserve"> rather than announcing the weighted number as fact.</w:t>
      </w:r>
    </w:p>
    <w:p>
      <w:pPr>
        <w:pStyle w:val="Heading2"/>
      </w:pPr>
      <w:r>
        <w:t>Predict more club volunteers only</w:t>
      </w:r>
    </w:p>
    <w:p>
      <w:pPr>
        <w:pStyle w:val="ListBullet"/>
      </w:pPr>
      <w:r>
        <w:t>Change one thing: Recruit more club volunteers only.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5" name="Picture 15" descr="Original case: Plan invitations that fairly cover the whole grade, document selection and report nonresponse by group. Changed condition: Recruit more club volunteers only. Expected result: Sample size increases without fixing missing representation of other learners. Reason: The added respondents come from the already overrepresented group."/>
            <wp:cNvGraphicFramePr>
              <a:graphicFrameLocks noChangeAspect="1"/>
            </wp:cNvGraphicFramePr>
            <a:graphic>
              <a:graphicData uri="http://schemas.openxmlformats.org/drawingml/2006/picture">
                <pic:pic>
                  <pic:nvPicPr>
                    <pic:cNvPr id="0" name="academy-story-ai-2-20-04.png"/>
                    <pic:cNvPicPr/>
                  </pic:nvPicPr>
                  <pic:blipFill>
                    <a:blip r:embed="rId18"/>
                    <a:stretch>
                      <a:fillRect/>
                    </a:stretch>
                  </pic:blipFill>
                  <pic:spPr>
                    <a:xfrm>
                      <a:off x="0" y="0"/>
                      <a:ext cx="5486400" cy="3041904"/>
                    </a:xfrm>
                    <a:prstGeom prst="rect"/>
                  </pic:spPr>
                </pic:pic>
              </a:graphicData>
            </a:graphic>
          </wp:inline>
        </w:drawing>
      </w:r>
    </w:p>
    <w:p>
      <w:pPr>
        <w:pStyle w:val="Heading2"/>
      </w:pPr>
      <w:r>
        <w:t>Explain why35% is an illustration</w:t>
      </w:r>
    </w:p>
    <w:p>
      <w:pPr>
        <w:pStyle w:val="ListBullet"/>
      </w:pPr>
      <w:r>
        <w:t>Read the labelled picture: Why must 35% be labelled an illustration rather than the measured grade-wide Yes rate?</w:t>
      </w:r>
    </w:p>
    <w:p>
      <w:pPr>
        <w:pStyle w:val="ListBullet"/>
      </w:pPr>
      <w:r>
        <w:t>Neither raw nor weighted volunteer rates prove the whole grade’s opinion; privacy and consent rules still apply.</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Repair Bias in Data"/>
            <wp:cNvGraphicFramePr>
              <a:graphicFrameLocks noChangeAspect="1"/>
            </wp:cNvGraphicFramePr>
            <a:graphic>
              <a:graphicData uri="http://schemas.openxmlformats.org/drawingml/2006/picture">
                <pic:pic>
                  <pic:nvPicPr>
                    <pic:cNvPr id="0" name="fc3caf174ca129c4ee321509200e941e072d4f80717a2ae1f4cee9eaa37eec21.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Audit: quiet-room voices work; noisy-room voices often fail.</w:t>
      </w:r>
    </w:p>
    <w:p>
      <w:pPr>
        <w:spacing w:line="336" w:lineRule="auto" w:after="180"/>
      </w:pPr>
      <w:r>
        <w:rPr>
          <w:b w:val="0"/>
        </w:rPr>
        <w:t>2. Possible causes: missing environments, microphone differences, narrow speakers.</w:t>
      </w:r>
    </w:p>
    <w:p>
      <w:pPr>
        <w:spacing w:line="336" w:lineRule="auto" w:after="180"/>
      </w:pPr>
      <w:r>
        <w:rPr>
          <w:b w:val="0"/>
        </w:rPr>
        <w:t>3. Repair: collect consented examples across settings; remove shortcut features.</w:t>
      </w:r>
    </w:p>
    <w:p>
      <w:pPr>
        <w:spacing w:line="336" w:lineRule="auto" w:after="180"/>
      </w:pPr>
      <w:r>
        <w:rPr>
          <w:b w:val="0"/>
        </w:rPr>
        <w:t xml:space="preserve">4. </w:t>
      </w:r>
      <w:r>
        <w:rPr>
          <w:b/>
        </w:rPr>
        <w:t>Retest</w:t>
      </w:r>
      <w:r>
        <w:rPr>
          <w:b w:val="0"/>
        </w:rPr>
        <w:t xml:space="preserve"> the same </w:t>
      </w:r>
      <w:r>
        <w:rPr>
          <w:b/>
        </w:rPr>
        <w:t>subgroup</w:t>
      </w:r>
      <w:r>
        <w:rPr>
          <w:b w:val="0"/>
        </w:rPr>
        <w:t xml:space="preserve"> cases and report before/after results.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Repair Bias in Data</w:t>
      </w:r>
    </w:p>
    <w:p>
      <w:pPr>
        <w:pStyle w:val="Heading3"/>
      </w:pPr>
      <w:r>
        <w:t>The facts we will use</w:t>
      </w:r>
    </w:p>
    <w:p>
      <w:r>
        <w:drawing>
          <wp:inline xmlns:a="http://schemas.openxmlformats.org/drawingml/2006/main" xmlns:pic="http://schemas.openxmlformats.org/drawingml/2006/picture">
            <wp:extent cx="5486400" cy="3077029"/>
            <wp:docPr id="17" name="Picture 17" descr="Volunteer group comparison"/>
            <wp:cNvGraphicFramePr>
              <a:graphicFrameLocks noChangeAspect="1"/>
            </wp:cNvGraphicFramePr>
            <a:graphic>
              <a:graphicData uri="http://schemas.openxmlformats.org/drawingml/2006/picture">
                <pic:pic>
                  <pic:nvPicPr>
                    <pic:cNvPr id="0" name="academy-detail-ai-2-20.png"/>
                    <pic:cNvPicPr/>
                  </pic:nvPicPr>
                  <pic:blipFill>
                    <a:blip r:embed="rId2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18" name="Picture 18" descr="Repair Bias in Data. Group rates: Club:12/15=80%; others:3/15=20%.. Respondent total: 15 Yes out of 30 respondents =50%.. Check representation: Respondents split 50/50, but the grade is 25% club and 75% other.. Repair collection: Plan invitations that fairly cover the whole grade, document selection and report nonresponse by group."/>
            <wp:cNvGraphicFramePr>
              <a:graphicFrameLocks noChangeAspect="1"/>
            </wp:cNvGraphicFramePr>
            <a:graphic>
              <a:graphicData uri="http://schemas.openxmlformats.org/drawingml/2006/picture">
                <pic:pic>
                  <pic:nvPicPr>
                    <pic:cNvPr id="0" name="academy-visual-ai-2-20.png"/>
                    <pic:cNvPicPr/>
                  </pic:nvPicPr>
                  <pic:blipFill>
                    <a:blip r:embed="rId21"/>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rates</w:t>
            </w:r>
          </w:p>
        </w:tc>
        <w:tc>
          <w:tcPr>
            <w:tcW w:type="dxa" w:w="5112"/>
          </w:tcPr>
          <w:p>
            <w:r>
              <w:t>Club:12/15=80%; others:3/15=20%.</w:t>
            </w:r>
          </w:p>
        </w:tc>
      </w:tr>
      <w:tr>
        <w:tc>
          <w:tcPr>
            <w:tcW w:type="dxa" w:w="5112"/>
          </w:tcPr>
          <w:p>
            <w:r>
              <w:t>2. Respondent total</w:t>
            </w:r>
          </w:p>
        </w:tc>
        <w:tc>
          <w:tcPr>
            <w:tcW w:type="dxa" w:w="5112"/>
          </w:tcPr>
          <w:p>
            <w:r>
              <w:t>15 Yes out of 30 respondents =50%.</w:t>
            </w:r>
          </w:p>
        </w:tc>
      </w:tr>
      <w:tr>
        <w:tc>
          <w:tcPr>
            <w:tcW w:type="dxa" w:w="5112"/>
          </w:tcPr>
          <w:p>
            <w:r>
              <w:t>3. Check representation</w:t>
            </w:r>
          </w:p>
        </w:tc>
        <w:tc>
          <w:tcPr>
            <w:tcW w:type="dxa" w:w="5112"/>
          </w:tcPr>
          <w:p>
            <w:r>
              <w:t>Respondents split 50/50, but the grade is 25% club and 75% other.</w:t>
            </w:r>
          </w:p>
        </w:tc>
      </w:tr>
      <w:tr>
        <w:tc>
          <w:tcPr>
            <w:tcW w:type="dxa" w:w="5112"/>
          </w:tcPr>
          <w:p>
            <w:r>
              <w:t>4. Repair collection</w:t>
            </w:r>
          </w:p>
        </w:tc>
        <w:tc>
          <w:tcPr>
            <w:tcW w:type="dxa" w:w="5112"/>
          </w:tcPr>
          <w:p>
            <w:r>
              <w:t>Plan invitations that fairly cover the whole grade, document selection and report nonresponse by group.</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Group differences do not identify a cause</w:t>
      </w:r>
    </w:p>
    <w:p>
      <w:r>
        <w:t>Keep coverage, small counts and causal explanations distinct.</w:t>
      </w:r>
    </w:p>
    <w:p>
      <w:pPr>
        <w:pStyle w:val="Heading2"/>
      </w:pPr>
      <w:r>
        <w:t>Limit the group comparison</w:t>
      </w:r>
    </w:p>
    <w:p>
      <w:pPr>
        <w:spacing w:line="336" w:lineRule="auto" w:after="180"/>
      </w:pPr>
      <w:r>
        <w:rPr>
          <w:b w:val="0"/>
        </w:rPr>
        <w:t>Group differences suggest that coverage matters, but do not explain why choices differ. Small group counts also make percentages unstable.</w:t>
      </w:r>
    </w:p>
    <w:p>
      <w:pPr>
        <w:spacing w:line="336" w:lineRule="auto" w:after="180"/>
      </w:pPr>
      <w:r>
        <w:rPr>
          <w:b w:val="0"/>
        </w:rPr>
        <w:t>Use neutral group labels in fictional data rather than personal or sensitive attributes.</w:t>
      </w:r>
    </w:p>
    <w:p>
      <w:pPr>
        <w:pStyle w:val="Heading2"/>
      </w:pPr>
      <w:r>
        <w:t>Challenge the causal claim</w:t>
      </w:r>
    </w:p>
    <w:p>
      <w:pPr>
        <w:pStyle w:val="Heading3"/>
      </w:pPr>
      <w:r>
        <w:t>Club members favor coding more often. Does club membership necessarily cause that preference?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Repair Bias in Data"/>
            <wp:cNvGraphicFramePr>
              <a:graphicFrameLocks noChangeAspect="1"/>
            </wp:cNvGraphicFramePr>
            <a:graphic>
              <a:graphicData uri="http://schemas.openxmlformats.org/drawingml/2006/picture">
                <pic:pic>
                  <pic:nvPicPr>
                    <pic:cNvPr id="0" name="491d9e1ad8fd856ba710f96b1d53d848c7a4dde1b6f7d6e66d8fde4ffdbc7c0e.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Repair access and selection rather than duplicating records</w:t>
      </w:r>
    </w:p>
    <w:p>
      <w:r>
        <w:t>A larger version of the same restricted sample can retain the same problem.</w:t>
      </w:r>
    </w:p>
    <w:p>
      <w:pPr>
        <w:pStyle w:val="Heading2"/>
      </w:pPr>
      <w:r>
        <w:t>Propose a collection repair</w:t>
      </w:r>
    </w:p>
    <w:p>
      <w:pPr>
        <w:spacing w:line="336" w:lineRule="auto" w:after="180"/>
      </w:pPr>
      <w:r>
        <w:rPr>
          <w:b w:val="0"/>
        </w:rPr>
        <w:t xml:space="preserve">Surveying another 100 people from the same undercovered source may make the sample larger without fixing the selection problem. Improve access to missing groups and record </w:t>
      </w:r>
      <w:r>
        <w:rPr>
          <w:b/>
        </w:rPr>
        <w:t>nonresponse</w:t>
      </w:r>
      <w:r>
        <w:rPr>
          <w:b w:val="0"/>
        </w:rPr>
        <w:t>; do not simply duplicate existing rows.</w:t>
      </w:r>
    </w:p>
    <w:p>
      <w:pPr>
        <w:pStyle w:val="Heading2"/>
      </w:pPr>
      <w:r>
        <w:t>Combine the separate W2 counts</w:t>
      </w:r>
    </w:p>
    <w:p>
      <w:pPr>
        <w:spacing w:line="336" w:lineRule="auto" w:after="180"/>
      </w:pPr>
      <w:r>
        <w:rPr>
          <w:b w:val="0"/>
        </w:rPr>
        <w:t>Use workbook W2 for the connected example “</w:t>
      </w:r>
      <w:r>
        <w:rPr>
          <w:b/>
        </w:rPr>
        <w:t>Selection bias</w:t>
      </w:r>
      <w:r>
        <w:rPr>
          <w:b w:val="0"/>
        </w:rPr>
        <w:t xml:space="preserve"> and coverage”.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successful execution proves the claim</w:t>
      </w:r>
    </w:p>
    <w:p>
      <w:pPr>
        <w:pStyle w:val="ListBullet"/>
      </w:pPr>
      <w:r>
        <w:t>Use the worked case for Selection bias and coverage. Proposed explanation: “A successful run proves the conclusion”.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weighted illustration’s limit</w:t>
      </w:r>
    </w:p>
    <w:p>
      <w:pPr>
        <w:spacing w:line="336" w:lineRule="auto" w:after="180"/>
      </w:pPr>
      <w:r>
        <w:rPr>
          <w:b w:val="0"/>
        </w:rPr>
        <w:t>Why must 35% be labelled an illustration rather than the measured grade-wide Yes 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Repair Bias in Data"/>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 xml:space="preserve">IF different: locate first cause; change one factor; </w:t>
      </w:r>
      <w:r>
        <w:rPr>
          <w:b/>
        </w:rPr>
        <w:t>RETEST</w:t>
      </w:r>
      <w:r>
        <w:rPr>
          <w:b w:val="0"/>
        </w:rPr>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Combine counts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a controlled change in respondent mix</w:t>
      </w:r>
    </w:p>
    <w:p>
      <w:r>
        <w:t>A numerical comparison can expose sensitivity without proving a collection repair worked.</w:t>
      </w:r>
    </w:p>
    <w:p>
      <w:pPr>
        <w:pStyle w:val="Heading2"/>
      </w:pPr>
      <w:r>
        <w:t>The complete two-scenario count record</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Fictional comparison</w:t>
            </w:r>
          </w:p>
        </w:tc>
        <w:tc>
          <w:tcPr>
            <w:tcW w:type="dxa" w:w="2556"/>
          </w:tcPr>
          <w:p>
            <w:r>
              <w:t>Club Yes / responses</w:t>
            </w:r>
          </w:p>
        </w:tc>
        <w:tc>
          <w:tcPr>
            <w:tcW w:type="dxa" w:w="2556"/>
          </w:tcPr>
          <w:p>
            <w:r>
              <w:t>Other Yes / responses</w:t>
            </w:r>
          </w:p>
        </w:tc>
        <w:tc>
          <w:tcPr>
            <w:tcW w:type="dxa" w:w="2556"/>
          </w:tcPr>
          <w:p>
            <w:r>
              <w:t>What is held fixed</w:t>
            </w:r>
          </w:p>
        </w:tc>
      </w:tr>
      <w:tr>
        <w:tc>
          <w:tcPr>
            <w:tcW w:type="dxa" w:w="2556"/>
          </w:tcPr>
          <w:p>
            <w:r>
              <w:t>A · Equal respondent counts</w:t>
            </w:r>
          </w:p>
        </w:tc>
        <w:tc>
          <w:tcPr>
            <w:tcW w:type="dxa" w:w="2556"/>
          </w:tcPr>
          <w:p>
            <w:r>
              <w:t>8/10</w:t>
            </w:r>
          </w:p>
        </w:tc>
        <w:tc>
          <w:tcPr>
            <w:tcW w:type="dxa" w:w="2556"/>
          </w:tcPr>
          <w:p>
            <w:r>
              <w:t>2/10</w:t>
            </w:r>
          </w:p>
        </w:tc>
        <w:tc>
          <w:tcPr>
            <w:tcW w:type="dxa" w:w="2556"/>
          </w:tcPr>
          <w:p>
            <w:r>
              <w:t>Within-group observed rates80% and20%</w:t>
            </w:r>
          </w:p>
        </w:tc>
      </w:tr>
      <w:tr>
        <w:tc>
          <w:tcPr>
            <w:tcW w:type="dxa" w:w="2556"/>
          </w:tcPr>
          <w:p>
            <w:r>
              <w:t>B · More club responses</w:t>
            </w:r>
          </w:p>
        </w:tc>
        <w:tc>
          <w:tcPr>
            <w:tcW w:type="dxa" w:w="2556"/>
          </w:tcPr>
          <w:p>
            <w:r>
              <w:t>72/90</w:t>
            </w:r>
          </w:p>
        </w:tc>
        <w:tc>
          <w:tcPr>
            <w:tcW w:type="dxa" w:w="2556"/>
          </w:tcPr>
          <w:p>
            <w:r>
              <w:t>2/10</w:t>
            </w:r>
          </w:p>
        </w:tc>
        <w:tc>
          <w:tcPr>
            <w:tcW w:type="dxa" w:w="2556"/>
          </w:tcPr>
          <w:p>
            <w:r>
              <w:t>The same within-group rates; different respondent mix</w:t>
            </w:r>
          </w:p>
        </w:tc>
      </w:tr>
    </w:tbl>
    <w:p>
      <w:pPr>
        <w:pStyle w:val="Heading2"/>
      </w:pPr>
      <w:r>
        <w:t>Predict, calculate, compare and propose a repair</w:t>
      </w:r>
    </w:p>
    <w:p>
      <w:pPr>
        <w:pStyle w:val="ListNumber"/>
      </w:pPr>
      <w:r>
        <w:t>Use these supplied illustrative counts, not a real new survey. Predict both group rates and the combined observed rate for A and B. Execute the opening script for A, then change only club_yes,club_n to72,90 for B; preserve both outputs or label a paper calculation. Explain why the combined rate changes despite unchanged within-group rates. No grade group sizes or random selection are supplied for these two cases, so neither combined rate is established as the grade preference. Compare a collection repair using a whole-grade frame and accessible invitations with merely duplicating a response or recruiting only the existing club. Predict what a repair might improve, but do not invent new response counts or model performance. Keep the independent18/20 and2/10 task unused during practice.</w:t>
      </w:r>
    </w:p>
    <w:p>
      <w:pPr>
        <w:pStyle w:val="Heading2"/>
      </w:pPr>
      <w:r>
        <w:t>Keep observations and next-step predictions separate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Repair Bias in Data"/>
            <wp:cNvGraphicFramePr>
              <a:graphicFrameLocks noChangeAspect="1"/>
            </wp:cNvGraphicFramePr>
            <a:graphic>
              <a:graphicData uri="http://schemas.openxmlformats.org/drawingml/2006/picture">
                <pic:pic>
                  <pic:nvPicPr>
                    <pic:cNvPr id="0" name="b1b79aebf1ff5b3f74a7530615477ace0e905df0bbdf98c6f579206bb4ce767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supplied two-scenario respondent-mix audit. Calculate group and combined rates, explain selection limits and propose a collection repair. No retrained model or </w:t>
      </w:r>
      <w:r>
        <w:rPr>
          <w:b/>
        </w:rPr>
        <w:t>subgroup</w:t>
      </w:r>
      <w:r>
        <w:rPr>
          <w:b w:val="0"/>
        </w:rPr>
        <w:t>-test outputs are supplied; do not describe a proposed repair as an observed improvement.</w:t>
      </w:r>
    </w:p>
    <w:p>
      <w:pPr>
        <w:pStyle w:val="Heading3"/>
      </w:pPr>
      <w:r>
        <w:t>Plan → try → check</w:t>
      </w:r>
    </w:p>
    <w:p>
      <w:pPr>
        <w:pStyle w:val="Heading1"/>
      </w:pPr>
      <w:r>
        <w:t>14. Try alone: audit the new unequal-group survey</w:t>
      </w:r>
    </w:p>
    <w:p>
      <w:r>
        <w:t>Show both group rates, combined counts and the claim’s limitation.</w:t>
      </w:r>
    </w:p>
    <w:p>
      <w:pPr>
        <w:pStyle w:val="Heading2"/>
      </w:pPr>
      <w:r>
        <w:t>The independent survey record</w:t>
      </w:r>
    </w:p>
    <w:p>
      <w:pPr>
        <w:spacing w:line="336" w:lineRule="auto" w:after="180"/>
      </w:pPr>
      <w:r>
        <w:rPr>
          <w:b w:val="0"/>
        </w:rPr>
        <w:t>A survey has 18 Yes of 20 club members and 2 Yes of 10 others. Compute both group rates and combined rate. Explain why 20/30 does not automatically describe the whole grade.</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Audit independently</w:t>
      </w:r>
    </w:p>
    <w:p>
      <w:pPr>
        <w:pStyle w:val="Heading3"/>
      </w:pPr>
      <w:r>
        <w:t>Week 20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dataset has 18 adventure readers and 2 poetry readers. A recommender ignores poetry preferences. What would you inspect and test after a repair?</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Change feature coverage or weights only after locating which reader profiles are underserved.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catalogue has 30 adventure titles and 2 poetry titles. A recommender rarely suggests poetry. Design a repair and an evaluation that distinguishes catalogue coverage from scoring preference.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Locate the coverage problem before changing recommender weights</w:t>
      </w:r>
    </w:p>
    <w:p>
      <w:r>
        <w:t>Keep collection, available titles and scoring evidence separate.</w:t>
      </w:r>
    </w:p>
    <w:p>
      <w:pPr>
        <w:pStyle w:val="Heading2"/>
      </w:pPr>
      <w:r>
        <w:t>This week’s concrete portfolio contribution</w:t>
      </w:r>
    </w:p>
    <w:p>
      <w:pPr>
        <w:spacing w:line="336" w:lineRule="auto" w:after="180"/>
      </w:pPr>
      <w:r>
        <w:rPr>
          <w:b w:val="0"/>
        </w:rPr>
        <w:t>For the fictional recommender, investigate catalogue availability, feedback collection and scoring as separate possible causes of an underserved interest. Keep a fixed development request set to compare one documented change at a time; report per-interest counts and denominators. More copies of one poetry title are not varied catalogue evidence, and few poetry suggestions alone do not identify the cause. Reserve fresh final requests and use invented profiles.</w:t>
      </w:r>
    </w:p>
    <w:p>
      <w:pPr>
        <w:spacing w:line="336" w:lineRule="auto" w:after="180"/>
      </w:pPr>
      <w:r>
        <w:rPr>
          <w:b w:val="0"/>
        </w:rPr>
        <w:t>Broaden recommender feedback collection and show respondent group coverage before making user-preference claims.</w:t>
      </w:r>
    </w:p>
    <w:p>
      <w:pPr>
        <w:pStyle w:val="Heading2"/>
      </w:pPr>
      <w:r>
        <w:t>Keep the checkpoint and human decision</w:t>
      </w:r>
    </w:p>
    <w:p>
      <w:pPr>
        <w:spacing w:line="336" w:lineRule="auto" w:after="180"/>
      </w:pPr>
      <w:r>
        <w:rPr>
          <w:b w:val="0"/>
        </w:rPr>
        <w:t>THIS WEEK’S CHECKPOINT  Change feature coverage or weights only after locating which reader profiles are underserved.</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Repair Bias in Data"/>
            <wp:cNvGraphicFramePr>
              <a:graphicFrameLocks noChangeAspect="1"/>
            </wp:cNvGraphicFramePr>
            <a:graphic>
              <a:graphicData uri="http://schemas.openxmlformats.org/drawingml/2006/picture">
                <pic:pic>
                  <pic:nvPicPr>
                    <pic:cNvPr id="0" name="f68bec5b920720466b81e7868a0d045f336ef74a25e58b360e98e202c8fb0211.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collection limit beside the calculated rate</w:t>
      </w:r>
    </w:p>
    <w:p>
      <w:r>
        <w:t>A correct fraction cannot repair who was missing.</w:t>
      </w:r>
    </w:p>
    <w:p>
      <w:pPr>
        <w:pStyle w:val="Heading2"/>
      </w:pPr>
      <w:r>
        <w:t>Explain without notes</w:t>
      </w:r>
    </w:p>
    <w:p>
      <w:pPr>
        <w:pStyle w:val="ListBullet"/>
      </w:pPr>
      <w:r>
        <w:t>Close your notes. Explain this goal in your own words: Identify selection and coverage bias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bias</w:t>
            </w:r>
          </w:p>
        </w:tc>
        <w:tc>
          <w:tcPr>
            <w:tcW w:type="dxa" w:w="3408"/>
          </w:tcPr>
          <w:p>
            <w:r>
              <w:t>A systematic tendency in data, decisions or outcomes that can distort a result or disadvantage people.</w:t>
            </w:r>
          </w:p>
        </w:tc>
        <w:tc>
          <w:tcPr>
            <w:tcW w:type="dxa" w:w="3408"/>
          </w:tcPr>
          <w:p>
            <w:r/>
          </w:p>
        </w:tc>
      </w:tr>
      <w:tr>
        <w:tc>
          <w:tcPr>
            <w:tcW w:type="dxa" w:w="3408"/>
          </w:tcPr>
          <w:p>
            <w:r>
              <w:t>rebalance</w:t>
            </w:r>
          </w:p>
        </w:tc>
        <w:tc>
          <w:tcPr>
            <w:tcW w:type="dxa" w:w="3408"/>
          </w:tcPr>
          <w:p>
            <w:r>
              <w:t>Change the relative representation of groups or classes in data using a stated method.</w:t>
            </w:r>
          </w:p>
        </w:tc>
        <w:tc>
          <w:tcPr>
            <w:tcW w:type="dxa" w:w="3408"/>
          </w:tcPr>
          <w:p>
            <w:r/>
          </w:p>
        </w:tc>
      </w:tr>
      <w:tr>
        <w:tc>
          <w:tcPr>
            <w:tcW w:type="dxa" w:w="3408"/>
          </w:tcPr>
          <w:p>
            <w:r>
              <w:t>subgroup</w:t>
            </w:r>
          </w:p>
        </w:tc>
        <w:tc>
          <w:tcPr>
            <w:tcW w:type="dxa" w:w="3408"/>
          </w:tcPr>
          <w:p>
            <w:r>
              <w:t>A defined subset of cases considered separately in analysis.</w:t>
            </w:r>
          </w:p>
        </w:tc>
        <w:tc>
          <w:tcPr>
            <w:tcW w:type="dxa" w:w="3408"/>
          </w:tcPr>
          <w:p>
            <w:r/>
          </w:p>
        </w:tc>
      </w:tr>
      <w:tr>
        <w:tc>
          <w:tcPr>
            <w:tcW w:type="dxa" w:w="3408"/>
          </w:tcPr>
          <w:p>
            <w:r>
              <w:t>retest</w:t>
            </w:r>
          </w:p>
        </w:tc>
        <w:tc>
          <w:tcPr>
            <w:tcW w:type="dxa" w:w="3408"/>
          </w:tcPr>
          <w:p>
            <w:r>
              <w:t>Run a test again after a change or under specified new conditions.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Selection bias</w:t>
            </w:r>
          </w:p>
        </w:tc>
        <w:tc>
          <w:tcPr>
            <w:tcW w:type="dxa" w:w="5112"/>
          </w:tcPr>
          <w:p>
            <w:r>
              <w:t>Systematic distortion caused by who enters the data</w:t>
            </w:r>
          </w:p>
        </w:tc>
      </w:tr>
      <w:tr>
        <w:tc>
          <w:tcPr>
            <w:tcW w:type="dxa" w:w="5112"/>
          </w:tcPr>
          <w:p>
            <w:r>
              <w:t>Undercoverage</w:t>
            </w:r>
          </w:p>
        </w:tc>
        <w:tc>
          <w:tcPr>
            <w:tcW w:type="dxa" w:w="5112"/>
          </w:tcPr>
          <w:p>
            <w:r>
              <w:t>Leaving part of the target group out of selection</w:t>
            </w:r>
          </w:p>
        </w:tc>
      </w:tr>
      <w:tr>
        <w:tc>
          <w:tcPr>
            <w:tcW w:type="dxa" w:w="5112"/>
          </w:tcPr>
          <w:p>
            <w:r>
              <w:t>Nonresponse</w:t>
            </w:r>
          </w:p>
        </w:tc>
        <w:tc>
          <w:tcPr>
            <w:tcW w:type="dxa" w:w="5112"/>
          </w:tcPr>
          <w:p>
            <w:r>
              <w:t>A selected participant does not respond</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bias"/>
            <wp:cNvGraphicFramePr>
              <a:graphicFrameLocks noChangeAspect="1"/>
            </wp:cNvGraphicFramePr>
            <a:graphic>
              <a:graphicData uri="http://schemas.openxmlformats.org/drawingml/2006/picture">
                <pic:pic>
                  <pic:nvPicPr>
                    <pic:cNvPr id="0" name="4cb197bee41228eca7f5a41b0e2f47bf6e6ced99b364d2dcff2d3f72f596fce2.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rebalance"/>
            <wp:cNvGraphicFramePr>
              <a:graphicFrameLocks noChangeAspect="1"/>
            </wp:cNvGraphicFramePr>
            <a:graphic>
              <a:graphicData uri="http://schemas.openxmlformats.org/drawingml/2006/picture">
                <pic:pic>
                  <pic:nvPicPr>
                    <pic:cNvPr id="0" name="825b9f35115ffc2ec3c3126f0c178b81f7fd05660ca141aa93af0b15a963f534.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subgroup"/>
            <wp:cNvGraphicFramePr>
              <a:graphicFrameLocks noChangeAspect="1"/>
            </wp:cNvGraphicFramePr>
            <a:graphic>
              <a:graphicData uri="http://schemas.openxmlformats.org/drawingml/2006/picture">
                <pic:pic>
                  <pic:nvPicPr>
                    <pic:cNvPr id="0" name="4703df0e1de4216ee37bdb5161b3cf9b7292b8a8948534fe2f1b1855811b453b.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retest"/>
            <wp:cNvGraphicFramePr>
              <a:graphicFrameLocks noChangeAspect="1"/>
            </wp:cNvGraphicFramePr>
            <a:graphic>
              <a:graphicData uri="http://schemas.openxmlformats.org/drawingml/2006/picture">
                <pic:pic>
                  <pic:nvPicPr>
                    <pic:cNvPr id="0" name="1c0c6250a1fe3c5cb61390fbb8d3a7700e1ce28a656c991641f3128ff276b80f.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Repair Bias in Data"/>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Audit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Audit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Repair Bias in Data"/>
            <wp:cNvGraphicFramePr>
              <a:graphicFrameLocks noChangeAspect="1"/>
            </wp:cNvGraphicFramePr>
            <a:graphic>
              <a:graphicData uri="http://schemas.openxmlformats.org/drawingml/2006/picture">
                <pic:pic>
                  <pic:nvPicPr>
                    <pic:cNvPr id="0" name="4a24f0d75c814b8b9bebe23ba5d297575a0e66467a8aec243091653c69431835.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Combine observed counts with their denominators, locate coverage and nonresponse limits, and keep causal claims separate.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Repair coverage with varied examples</w:t>
      </w:r>
    </w:p>
    <w:p>
      <w:r>
        <w:t>Try the question before opening its worked explanation.</w:t>
      </w:r>
    </w:p>
    <w:p>
      <w:pPr>
        <w:pStyle w:val="Heading2"/>
      </w:pPr>
      <w:r>
        <w:t>Read the supplied case and question</w:t>
      </w:r>
    </w:p>
    <w:p>
      <w:pPr>
        <w:spacing w:line="336" w:lineRule="auto" w:after="180"/>
      </w:pPr>
      <w:r>
        <w:rPr>
          <w:b/>
        </w:rPr>
        <w:t>Training</w:t>
      </w:r>
      <w:r>
        <w:rPr>
          <w:b w:val="0"/>
        </w:rPr>
        <w:t xml:space="preserve"> has eighteen adventure readers and two poetry readers; many intended users prefer poetry.</w:t>
      </w:r>
    </w:p>
    <w:p>
      <w:pPr>
        <w:spacing w:line="336" w:lineRule="auto" w:after="180"/>
      </w:pPr>
      <w:r>
        <w:rPr>
          <w:b w:val="0"/>
        </w:rPr>
        <w:t>Propose repair and evaluation.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Collect varied relevant poetry examples with consistent labels. Compare both interests on separate evaluation cases before and after repair.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Adventure readers</w:t>
            </w:r>
          </w:p>
        </w:tc>
        <w:tc>
          <w:tcPr>
            <w:tcW w:type="dxa" w:w="5112"/>
          </w:tcPr>
          <w:p>
            <w:r>
              <w:t>18</w:t>
            </w:r>
          </w:p>
        </w:tc>
      </w:tr>
      <w:tr>
        <w:tc>
          <w:tcPr>
            <w:tcW w:type="dxa" w:w="5112"/>
          </w:tcPr>
          <w:p>
            <w:r>
              <w:t>Poetry readers</w:t>
            </w:r>
          </w:p>
        </w:tc>
        <w:tc>
          <w:tcPr>
            <w:tcW w:type="dxa" w:w="5112"/>
          </w:tcPr>
          <w:p>
            <w:r>
              <w:t>2</w:t>
            </w:r>
          </w:p>
        </w:tc>
      </w:tr>
    </w:tbl>
    <w:p>
      <w:pPr>
        <w:pStyle w:val="Heading2"/>
      </w:pPr>
      <w:r>
        <w:t>Earlier wording, alternatives and picture transcripts · reference / check after trying</w:t>
      </w:r>
    </w:p>
    <w:p>
      <w:pPr>
        <w:pStyle w:val="Heading3"/>
      </w:pPr>
      <w:r>
        <w:t>Week 20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Repair coverage with varied examples</w:t>
      </w:r>
    </w:p>
    <w:p>
      <w:pPr>
        <w:spacing w:line="336" w:lineRule="auto" w:after="180"/>
      </w:pPr>
      <w:r>
        <w:rPr>
          <w:b/>
        </w:rPr>
        <w:t>Training</w:t>
      </w:r>
      <w:r>
        <w:rPr>
          <w:b w:val="0"/>
        </w:rPr>
        <w:t xml:space="preserve"> has eighteen adventure readers and two poetry readers; many intended users prefer poetry.</w:t>
      </w:r>
    </w:p>
    <w:p>
      <w:pPr>
        <w:spacing w:line="336" w:lineRule="auto" w:after="180"/>
      </w:pPr>
      <w:r>
        <w:rPr>
          <w:b w:val="0"/>
        </w:rPr>
        <w:t>Propose repair and evaluation.</w:t>
      </w:r>
    </w:p>
    <w:p>
      <w:pPr>
        <w:spacing w:line="336" w:lineRule="auto" w:after="180"/>
      </w:pPr>
      <w:r>
        <w:rPr>
          <w:b w:val="0"/>
        </w:rPr>
        <w:t>Collect varied relevant poetry examples with consistent labels. Compare both interests on separate evaluation cases before and after repair.</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Identify selection and coverage bias</w:t>
            </w:r>
          </w:p>
        </w:tc>
        <w:tc>
          <w:tcPr>
            <w:tcW w:type="dxa" w:w="5112"/>
          </w:tcPr>
          <w:p>
            <w:r>
              <w:t>Explain the deciding step, show a trace or test, and state one limit.</w:t>
            </w:r>
          </w:p>
        </w:tc>
      </w:tr>
      <w:tr>
        <w:tc>
          <w:tcPr>
            <w:tcW w:type="dxa" w:w="5112"/>
          </w:tcPr>
          <w:p>
            <w:r>
              <w:t>Compare groups before combining results</w:t>
            </w:r>
          </w:p>
        </w:tc>
        <w:tc>
          <w:tcPr>
            <w:tcW w:type="dxa" w:w="5112"/>
          </w:tcPr>
          <w:p>
            <w:r>
              <w:t>Explain the deciding step, show a trace or test, and state one limit.</w:t>
            </w:r>
          </w:p>
        </w:tc>
      </w:tr>
      <w:tr>
        <w:tc>
          <w:tcPr>
            <w:tcW w:type="dxa" w:w="5112"/>
          </w:tcPr>
          <w:p>
            <w:r>
              <w:t>Explain why more biased data may not help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school polls learners about adding comic recommendations.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school polls learners about adding comic recommendations.</w:t>
      </w:r>
    </w:p>
    <w:p>
      <w:pPr>
        <w:pStyle w:val="Heading3"/>
      </w:pPr>
      <w:r>
        <w:t>Practice 1: explain the deciding evidence</w:t>
      </w:r>
    </w:p>
    <w:p>
      <w:pPr>
        <w:pStyle w:val="ListBullet"/>
      </w:pPr>
      <w:r>
        <w:t>Which labelled step matches this detail? Plan invitations that fairly cover the whole grade, document selection and report nonresponse by group.</w:t>
      </w:r>
    </w:p>
    <w:p>
      <w:pPr>
        <w:pStyle w:val="ListBullet"/>
      </w:pPr>
      <w:r>
        <w:t>1. Group rates</w:t>
      </w:r>
    </w:p>
    <w:p>
      <w:pPr>
        <w:pStyle w:val="ListBullet"/>
      </w:pPr>
      <w:r>
        <w:t>2. Respondent total</w:t>
      </w:r>
    </w:p>
    <w:p>
      <w:pPr>
        <w:pStyle w:val="ListBullet"/>
      </w:pPr>
      <w:r>
        <w:t>3. Repair collection</w:t>
      </w:r>
    </w:p>
    <w:p>
      <w:pPr>
        <w:pStyle w:val="ListBullet"/>
      </w:pPr>
      <w:r>
        <w:t>4. Check representation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Repair collection Plan invitations that fairly cover the whole grade, document selection and report </w:t>
      </w:r>
      <w:r>
        <w:rPr>
          <w:b/>
        </w:rPr>
        <w:t>nonresponse</w:t>
      </w:r>
      <w:r>
        <w:rPr>
          <w:b w:val="0"/>
        </w:rPr>
        <w:t xml:space="preserve"> by group.</w:t>
      </w:r>
    </w:p>
    <w:p>
      <w:pPr>
        <w:spacing w:line="336" w:lineRule="auto" w:after="180"/>
      </w:pPr>
      <w:r>
        <w:rPr>
          <w:b w:val="0"/>
        </w:rPr>
        <w:t>The combined respondent result gives club members more influence than their share of the grade.</w:t>
      </w:r>
    </w:p>
    <w:p>
      <w:pPr>
        <w:spacing w:line="336" w:lineRule="auto" w:after="180"/>
      </w:pPr>
      <w:r>
        <w:rPr>
          <w:b w:val="0"/>
        </w:rPr>
        <w:t>A weighted illustration using 25% and 75% gives 0.25×</w:t>
      </w:r>
      <w:r>
        <w:rPr>
          <w:b/>
        </w:rPr>
        <w:t>80%</w:t>
      </w:r>
      <w:r>
        <w:rPr>
          <w:b w:val="0"/>
        </w:rPr>
        <w:t>+0.75×20%=35%, but volunteers may differ within each group, so weighting alone does not establish the true grade preference.</w:t>
      </w:r>
    </w:p>
    <w:p>
      <w:pPr>
        <w:spacing w:line="336" w:lineRule="auto" w:after="180"/>
      </w:pPr>
      <w:r>
        <w:rPr>
          <w:b w:val="0"/>
        </w:rPr>
        <w:t xml:space="preserve">Improve the collection </w:t>
      </w:r>
      <w:r>
        <w:rPr>
          <w:b/>
        </w:rPr>
        <w:t>process</w:t>
      </w:r>
      <w:r>
        <w:rPr>
          <w:b w:val="0"/>
        </w:rPr>
        <w:t xml:space="preserve"> rather than announcing the weighted number as fact.</w:t>
      </w:r>
    </w:p>
    <w:p>
      <w:pPr>
        <w:pStyle w:val="Heading2"/>
      </w:pPr>
      <w:r>
        <w:t>Changed-case question</w:t>
      </w:r>
    </w:p>
    <w:p>
      <w:pPr>
        <w:pStyle w:val="Heading3"/>
      </w:pPr>
      <w:r>
        <w:t>Practice 2: explain the deciding evidence</w:t>
      </w:r>
    </w:p>
    <w:p>
      <w:pPr>
        <w:pStyle w:val="ListBullet"/>
      </w:pPr>
      <w:r>
        <w:t>Changed-case practice: Recruit more club volunteers only. Which conclusion is supported by the supplied facts?</w:t>
      </w:r>
    </w:p>
    <w:p>
      <w:pPr>
        <w:pStyle w:val="ListBullet"/>
      </w:pPr>
      <w:r>
        <w:t>1. This one example guarantees correct results for every future input.</w:t>
      </w:r>
    </w:p>
    <w:p>
      <w:pPr>
        <w:pStyle w:val="ListBullet"/>
      </w:pPr>
      <w:r>
        <w:t>2. Sample size increases without fixing missing representation of other learners.</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Sample size increases without fixing missing representation of other learners. The added respondents come from the already overrepresented group.</w:t>
      </w:r>
    </w:p>
    <w:p>
      <w:pPr>
        <w:pStyle w:val="Heading2"/>
      </w:pPr>
      <w:r>
        <w:t>Repair and save your work</w:t>
      </w:r>
    </w:p>
    <w:p>
      <w:pPr>
        <w:spacing w:line="336" w:lineRule="auto" w:after="180"/>
      </w:pPr>
      <w:r>
        <w:rPr>
          <w:b w:val="0"/>
        </w:rPr>
        <w:t xml:space="preserve">Review Sampling and Representation (ai-2/19). Goal: Define a question and target population. Short practice: Can </w:t>
      </w:r>
      <w:r>
        <w:rPr>
          <w:b/>
        </w:rPr>
        <w:t>80%</w:t>
      </w:r>
      <w:r>
        <w:rPr>
          <w:b w:val="0"/>
        </w:rPr>
        <w:t xml:space="preserve"> response be reported as </w:t>
      </w:r>
      <w:r>
        <w:rPr>
          <w:b/>
        </w:rPr>
        <w:t>80%</w:t>
      </w:r>
      <w:r>
        <w:rPr>
          <w:b w:val="0"/>
        </w:rPr>
        <w:t xml:space="preserve"> of the whole grade responding?. Return to this week and explain what you changed.</w:t>
      </w:r>
    </w:p>
    <w:p>
      <w:pPr>
        <w:spacing w:line="336" w:lineRule="auto" w:after="180"/>
      </w:pPr>
      <w:r>
        <w:rPr>
          <w:b w:val="0"/>
        </w:rPr>
        <w:t>Review Noise and Outliers (ai-2/17). Goal: Calculate mean and median. Short practice: If 18 was genuine, which summary better describes the middle observed task, and what extra fact should be shown?.</w:t>
      </w:r>
    </w:p>
    <w:p>
      <w:pPr>
        <w:spacing w:line="336" w:lineRule="auto" w:after="180"/>
      </w:pPr>
      <w:r>
        <w:rPr>
          <w:b w:val="0"/>
        </w:rPr>
        <w:t>Return to this week and explain what you changed.</w:t>
      </w:r>
    </w:p>
    <w:p>
      <w:pPr>
        <w:spacing w:line="336" w:lineRule="auto" w:after="180"/>
      </w:pPr>
      <w:r>
        <w:rPr>
          <w:b w:val="0"/>
        </w:rPr>
        <w:t xml:space="preserve">Review Decision Trees (ai-2/14). Goal: Fit a root question and leaf </w:t>
      </w:r>
      <w:r>
        <w:rPr>
          <w:b/>
        </w:rPr>
        <w:t>prediction</w:t>
      </w:r>
      <w:r>
        <w:rPr>
          <w:b w:val="0"/>
        </w:rPr>
        <w:t xml:space="preserve">s from </w:t>
      </w:r>
      <w:r>
        <w:rPr>
          <w:b/>
        </w:rPr>
        <w:t>training</w:t>
      </w:r>
      <w:r>
        <w:rPr>
          <w:b w:val="0"/>
        </w:rPr>
        <w:t xml:space="preserve"> examples. Short practice: Why does changing colour alone not change this tree’s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Repair Bias in Data: the case</w:t>
      </w:r>
    </w:p>
    <w:p>
      <w:r>
        <w:drawing>
          <wp:inline xmlns:a="http://schemas.openxmlformats.org/drawingml/2006/main" xmlns:pic="http://schemas.openxmlformats.org/drawingml/2006/picture">
            <wp:extent cx="5486400" cy="2840736"/>
            <wp:docPr id="29" name="Picture 29" descr="A fictional school polls learners about adding comic recommendations. Supplied facts: Library-club respondents: 12 Yes out of 15. Other respondents: 3 Yes out of 15. The full grade has 30 club members and 90 others. These respondents were volunteers, not random selections."/>
            <wp:cNvGraphicFramePr>
              <a:graphicFrameLocks noChangeAspect="1"/>
            </wp:cNvGraphicFramePr>
            <a:graphic>
              <a:graphicData uri="http://schemas.openxmlformats.org/drawingml/2006/picture">
                <pic:pic>
                  <pic:nvPicPr>
                    <pic:cNvPr id="0" name="academy-story-ai-2-20-01.png"/>
                    <pic:cNvPicPr/>
                  </pic:nvPicPr>
                  <pic:blipFill>
                    <a:blip r:embed="rId32"/>
                    <a:stretch>
                      <a:fillRect/>
                    </a:stretch>
                  </pic:blipFill>
                  <pic:spPr>
                    <a:xfrm>
                      <a:off x="0" y="0"/>
                      <a:ext cx="5486400" cy="2840736"/>
                    </a:xfrm>
                    <a:prstGeom prst="rect"/>
                  </pic:spPr>
                </pic:pic>
              </a:graphicData>
            </a:graphic>
          </wp:inline>
        </w:drawing>
      </w:r>
    </w:p>
    <w:p>
      <w:pPr>
        <w:spacing w:line="336" w:lineRule="auto" w:after="180"/>
      </w:pPr>
      <w:r>
        <w:rPr>
          <w:b w:val="0"/>
        </w:rPr>
        <w:t>A fictional school polls learners about adding comic recommendations. Supplied facts: Library-club respondents: 12 Yes out of 15. Other respondents: 3 Yes out of 15. The full grade has 30 club members and 90 others.</w:t>
      </w:r>
    </w:p>
    <w:p>
      <w:pPr>
        <w:spacing w:line="336" w:lineRule="auto" w:after="180"/>
      </w:pPr>
      <w:r>
        <w:rPr>
          <w:b w:val="0"/>
        </w:rPr>
        <w:t>These respondents were volunteers, not random selections.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160520"/>
            <wp:docPr id="30" name="Picture 30" descr="Group rates: Club:12/15=80%; others:3/15=20%. → Respondent total: 15 Yes out of 30 respondents =50%. → Check representation: Respondents split 50/50, but the grade is 25% club and 75% other. → Repair collection: Plan invitations that fairly cover the whole grade, document selection and report nonresponse by group."/>
            <wp:cNvGraphicFramePr>
              <a:graphicFrameLocks noChangeAspect="1"/>
            </wp:cNvGraphicFramePr>
            <a:graphic>
              <a:graphicData uri="http://schemas.openxmlformats.org/drawingml/2006/picture">
                <pic:pic>
                  <pic:nvPicPr>
                    <pic:cNvPr id="0" name="academy-story-ai-2-20-02.png"/>
                    <pic:cNvPicPr/>
                  </pic:nvPicPr>
                  <pic:blipFill>
                    <a:blip r:embed="rId17"/>
                    <a:stretch>
                      <a:fillRect/>
                    </a:stretch>
                  </pic:blipFill>
                  <pic:spPr>
                    <a:xfrm>
                      <a:off x="0" y="0"/>
                      <a:ext cx="5486400" cy="4160520"/>
                    </a:xfrm>
                    <a:prstGeom prst="rect"/>
                  </pic:spPr>
                </pic:pic>
              </a:graphicData>
            </a:graphic>
          </wp:inline>
        </w:drawing>
      </w:r>
    </w:p>
    <w:p>
      <w:pPr>
        <w:spacing w:line="336" w:lineRule="auto" w:after="180"/>
      </w:pPr>
      <w:r>
        <w:rPr>
          <w:b w:val="0"/>
        </w:rPr>
        <w:t>Group rates: Club:12/15=</w:t>
      </w:r>
      <w:r>
        <w:rPr>
          <w:b/>
        </w:rPr>
        <w:t>80%</w:t>
      </w:r>
      <w:r>
        <w:rPr>
          <w:b w:val="0"/>
        </w:rPr>
        <w:t xml:space="preserve">; others:3/15=20%. → Respondent total: 15 Yes out of 30 respondents =50%. → Check representation: Respondents split 50/50, but the grade is 25% club and 75% other. → Repair collection: Plan invitations that fairly cover the whole grade, document selection and report </w:t>
      </w:r>
      <w:r>
        <w:rPr>
          <w:b/>
        </w:rPr>
        <w:t>nonresponse</w:t>
      </w:r>
      <w:r>
        <w:rPr>
          <w:b w:val="0"/>
        </w:rPr>
        <w:t xml:space="preserve"> by group.</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Volunteer group comparison</w:t>
      </w:r>
    </w:p>
    <w:p>
      <w:r>
        <w:drawing>
          <wp:inline xmlns:a="http://schemas.openxmlformats.org/drawingml/2006/main" xmlns:pic="http://schemas.openxmlformats.org/drawingml/2006/picture">
            <wp:extent cx="5486400" cy="3096768"/>
            <wp:docPr id="31" name="Picture 31" descr="Volunteer group comparison. Club: Yes responses = 12, Respondents = 15, Grade members = 30. Others: Yes responses = 3, Respondents = 15, Grade members = 90."/>
            <wp:cNvGraphicFramePr>
              <a:graphicFrameLocks noChangeAspect="1"/>
            </wp:cNvGraphicFramePr>
            <a:graphic>
              <a:graphicData uri="http://schemas.openxmlformats.org/drawingml/2006/picture">
                <pic:pic>
                  <pic:nvPicPr>
                    <pic:cNvPr id="0" name="academy-story-ai-2-20-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Volunteer group comparison. Club: Yes responses = 12, Respondents = 15, Grade members = 30. Others: Yes responses = 3, Respondents = 15, Grade members = 90.</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2" name="Picture 32" descr="Original case: Plan invitations that fairly cover the whole grade, document selection and report nonresponse by group. Changed condition: Recruit more club volunteers only. Expected result: Sample size increases without fixing missing representation of other learners. Reason: The added respondents come from the already overrepresented group."/>
            <wp:cNvGraphicFramePr>
              <a:graphicFrameLocks noChangeAspect="1"/>
            </wp:cNvGraphicFramePr>
            <a:graphic>
              <a:graphicData uri="http://schemas.openxmlformats.org/drawingml/2006/picture">
                <pic:pic>
                  <pic:nvPicPr>
                    <pic:cNvPr id="0" name="academy-story-ai-2-20-04.png"/>
                    <pic:cNvPicPr/>
                  </pic:nvPicPr>
                  <pic:blipFill>
                    <a:blip r:embed="rId18"/>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Plan invitations that fairly cover the whole grade, document selection and report </w:t>
      </w:r>
      <w:r>
        <w:rPr>
          <w:b/>
        </w:rPr>
        <w:t>nonresponse</w:t>
      </w:r>
      <w:r>
        <w:rPr>
          <w:b w:val="0"/>
        </w:rPr>
        <w:t xml:space="preserve"> by group. Changed condition: Recruit more club volunteers only.</w:t>
      </w:r>
    </w:p>
    <w:p>
      <w:pPr>
        <w:spacing w:line="336" w:lineRule="auto" w:after="180"/>
      </w:pPr>
      <w:r>
        <w:rPr>
          <w:b w:val="0"/>
        </w:rPr>
        <w:t>Expected result: Sample size increases without fixing missing representation of other learners. Reason: The added respondents come from the already overrepresented group.</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The combined respondent result gives club members more influence than their share of the grade. A weighted illustration using 25% and 75% gives 0.25×80%+0.75×20%=35%, but volunteers may differ within each group, so weighting alone does not establish the true grade preference. Improve the collection process rather than announcing the weighted number as fact. Limit: Neither raw nor weighted volunteer rates prove the whole grade’s opinion; privacy and consent rules still apply."/>
            <wp:cNvGraphicFramePr>
              <a:graphicFrameLocks noChangeAspect="1"/>
            </wp:cNvGraphicFramePr>
            <a:graphic>
              <a:graphicData uri="http://schemas.openxmlformats.org/drawingml/2006/picture">
                <pic:pic>
                  <pic:nvPicPr>
                    <pic:cNvPr id="0" name="academy-story-ai-2-20-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The combined respondent result gives club members more influence than their share of the grade.</w:t>
      </w:r>
    </w:p>
    <w:p>
      <w:pPr>
        <w:spacing w:line="336" w:lineRule="auto" w:after="180"/>
      </w:pPr>
      <w:r>
        <w:rPr>
          <w:b w:val="0"/>
        </w:rPr>
        <w:t>A weighted illustration using 25% and 75% gives 0.25×</w:t>
      </w:r>
      <w:r>
        <w:rPr>
          <w:b/>
        </w:rPr>
        <w:t>80%</w:t>
      </w:r>
      <w:r>
        <w:rPr>
          <w:b w:val="0"/>
        </w:rPr>
        <w:t>+0.75×20%=35%, but volunteers may differ within each group, so weighting alone does not establish the true grade preference.</w:t>
      </w:r>
    </w:p>
    <w:p>
      <w:pPr>
        <w:spacing w:line="336" w:lineRule="auto" w:after="180"/>
      </w:pPr>
      <w:r>
        <w:rPr>
          <w:b w:val="0"/>
        </w:rPr>
        <w:t xml:space="preserve">Improve the collection </w:t>
      </w:r>
      <w:r>
        <w:rPr>
          <w:b/>
        </w:rPr>
        <w:t>process</w:t>
      </w:r>
      <w:r>
        <w:rPr>
          <w:b w:val="0"/>
        </w:rPr>
        <w:t xml:space="preserve"> rather than announcing the weighted number as fact. Limit: Neither raw nor weighted volunteer rates prove the whole grade’s opinion; privacy and consent rules still apply.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Broaden recommender feedback collection and show respondent group coverage before making user-preference claims. Draw your input, deciding step, result and limit. Supported question: Why must 35% be labelled an illustration rather than the measured grade-wide Yes rate?"/>
            <wp:cNvGraphicFramePr>
              <a:graphicFrameLocks noChangeAspect="1"/>
            </wp:cNvGraphicFramePr>
            <a:graphic>
              <a:graphicData uri="http://schemas.openxmlformats.org/drawingml/2006/picture">
                <pic:pic>
                  <pic:nvPicPr>
                    <pic:cNvPr id="0" name="academy-story-ai-2-20-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Broaden recommender feedback collection and show respondent group coverage before making user-preference claims. Draw your </w:t>
      </w:r>
      <w:r>
        <w:rPr>
          <w:b/>
        </w:rPr>
        <w:t>input</w:t>
      </w:r>
      <w:r>
        <w:rPr>
          <w:b w:val="0"/>
        </w:rPr>
        <w:t>, deciding step, result and limit.</w:t>
      </w:r>
    </w:p>
    <w:p>
      <w:pPr>
        <w:spacing w:line="336" w:lineRule="auto" w:after="180"/>
      </w:pPr>
      <w:r>
        <w:rPr>
          <w:b w:val="0"/>
        </w:rPr>
        <w:t>Supported question: Why must 35% be labelled an illustration rather than the measured grade-wide Yes rate?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Repair Bias in Data: the case</w:t>
      </w:r>
    </w:p>
    <w:p>
      <w:pPr>
        <w:pStyle w:val="Heading3"/>
      </w:pPr>
      <w:r>
        <w:t>02. Follow the deciding steps</w:t>
      </w:r>
    </w:p>
    <w:p>
      <w:pPr>
        <w:pStyle w:val="Heading3"/>
      </w:pPr>
      <w:r>
        <w:t>03. Volunteer group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