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ai-2/9</w:t>
      </w:r>
    </w:p>
    <w:p>
      <w:pPr>
        <w:pStyle w:val="Title"/>
      </w:pPr>
      <w:r>
        <w:t>Features and Distractors</w:t>
      </w:r>
    </w:p>
    <w:p>
      <w:r>
        <w:t>Project: Transparent Book Recommender</w:t>
      </w:r>
    </w:p>
    <w:p>
      <w:pPr>
        <w:pStyle w:val="Heading1"/>
      </w:pPr>
      <w:r>
        <w:t>One connected feature-selection record.</w:t>
      </w:r>
    </w:p>
    <w:p>
      <w:r>
        <w:t>Define inputs, construct collisions, expose a colour shortcut and reconsider the feature set when the target changes.</w:t>
      </w:r>
    </w:p>
    <w:p>
      <w:r>
        <w:t>Keep the task, units, available inputs, expected labels and observation status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Operational Labels</w:t>
      </w:r>
    </w:p>
    <w:p>
      <w:pPr>
        <w:pStyle w:val="Heading3"/>
      </w:pPr>
      <w:r>
        <w:t>Debugging Strategies</w:t>
      </w:r>
    </w:p>
    <w:p>
      <w:pPr>
        <w:pStyle w:val="Heading3"/>
      </w:pPr>
      <w:r>
        <w:t>Branching Logic</w:t>
      </w:r>
    </w:p>
    <w:p>
      <w:pPr>
        <w:pStyle w:val="Heading1"/>
      </w:pPr>
      <w:r>
        <w:t>12. W1 · Separate permitted inputs from the target</w:t>
      </w:r>
    </w:p>
    <w:p>
      <w:r>
        <w:t>Write a defined feature order and units.</w:t>
      </w:r>
    </w:p>
    <w:p>
      <w:pPr>
        <w:pStyle w:val="Heading2"/>
      </w:pPr>
      <w:r>
        <w:t>Your evidence record</w:t>
      </w:r>
    </w:p>
    <w:p>
      <w:pPr>
        <w:pStyle w:val="ListBullet"/>
      </w:pPr>
      <w:r>
        <w:t>Card reference for W1–W3: positive whole-number length and width in centimetres; fixed flat orientation. Fits means length &lt;=12 AND width &lt;=8, including equality; otherwise too large. Choose inputs available before inspection. The final inspection sticker is added afterward. For W5 the target changes to red/blue bins, so review feature relevance again.</w:t>
      </w:r>
    </w:p>
    <w:p>
      <w:pPr>
        <w:pStyle w:val="ListBullet"/>
      </w:pPr>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Demonstrate a width-only collision</w:t>
      </w:r>
    </w:p>
    <w:p>
      <w:r>
        <w:t>Use equal widths and lengths on opposite sides of the limit.</w:t>
      </w:r>
    </w:p>
    <w:p>
      <w:pPr>
        <w:pStyle w:val="Heading2"/>
      </w:pPr>
      <w:r>
        <w:t>Your evidence record</w:t>
      </w:r>
    </w:p>
    <w:p>
      <w:pPr>
        <w:pStyle w:val="ListBullet"/>
      </w:pPr>
      <w:r>
        <w:t>Card reference for W1–W3: positive whole-number length and width in centimetres; fixed flat orientation. Fits means length &lt;=12 AND width &lt;=8, including equality; otherwise too large. Choose inputs available before inspection. The final inspection sticker is added afterward. For W5 the target changes to red/blue bins, so review feature relevance again.</w:t>
      </w:r>
    </w:p>
    <w:p>
      <w:pPr>
        <w:pStyle w:val="ListBullet"/>
      </w:pPr>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Break the colour shortcut</w:t>
      </w:r>
    </w:p>
    <w:p>
      <w:r>
        <w:t>Use measurements to justify the correct label.</w:t>
      </w:r>
    </w:p>
    <w:p>
      <w:pPr>
        <w:pStyle w:val="Heading2"/>
      </w:pPr>
      <w:r>
        <w:t>Your evidence record</w:t>
      </w:r>
    </w:p>
    <w:p>
      <w:pPr>
        <w:pStyle w:val="ListBullet"/>
      </w:pPr>
      <w:r>
        <w:t>Card reference for W1–W3: positive whole-number length and width in centimetres; fixed flat orientation. Fits means length &lt;=12 AND width &lt;=8, including equality; otherwise too large. Choose inputs available before inspection. The final inspection sticker is added afterward. For W5 the target changes to red/blue bins, so review feature relevance again.</w:t>
      </w:r>
    </w:p>
    <w:p>
      <w:pPr>
        <w:pStyle w:val="ListBullet"/>
      </w:pPr>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Reconsider inputs when the target changes</w:t>
      </w:r>
    </w:p>
    <w:p>
      <w:r>
        <w:t>The same dimensions can now require different colour-bin labels.</w:t>
      </w:r>
    </w:p>
    <w:p>
      <w:pPr>
        <w:pStyle w:val="Heading2"/>
      </w:pPr>
      <w:r>
        <w:t>Your evidence record</w:t>
      </w:r>
    </w:p>
    <w:p>
      <w:pPr>
        <w:pStyle w:val="ListBullet"/>
      </w:pPr>
      <w:r>
        <w:t>Card reference for W1–W3: positive whole-number length and width in centimetres; fixed flat orientation. Fits means length &lt;=12 AND width &lt;=8, including equality; otherwise too large. Choose inputs available before inspection. The final inspection sticker is added afterward. For W5 the target changes to red/blue bins, so review feature relevance again.</w:t>
      </w:r>
    </w:p>
    <w:p>
      <w:pPr>
        <w:pStyle w:val="ListBullet"/>
      </w:pPr>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Changed independent case</w:t>
      </w:r>
    </w:p>
    <w:p>
      <w:r>
        <w:t>Keep one first attempt before hints or feedback.</w:t>
      </w:r>
    </w:p>
    <w:p>
      <w:pPr>
        <w:pStyle w:val="Heading2"/>
      </w:pPr>
      <w:r>
        <w:t>Read and explain independently</w:t>
      </w:r>
    </w:p>
    <w:p>
      <w:pPr>
        <w:spacing w:line="336" w:lineRule="auto" w:after="180"/>
      </w:pPr>
      <w:r>
        <w:rPr>
          <w:b/>
        </w:rPr>
        <w:t>Training</w:t>
      </w:r>
      <w:r>
        <w:rPr>
          <w:b w:val="0"/>
        </w:rPr>
        <w:t xml:space="preserve">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Use explainable traits that connect to the reader’s stated preferences.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Prove that one measurement is insufficient for </w:t>
      </w:r>
      <w:r>
        <w:rPr>
          <w:b/>
        </w:rPr>
        <w:t>Feature</w:t>
      </w:r>
      <w:r>
        <w:rPr>
          <w:b w:val="0"/>
        </w:rPr>
        <w:t>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Extra practice · Display-tray features</w:t>
      </w:r>
    </w:p>
    <w:p>
      <w:r>
        <w:t>This is a separate optional transfer task rather than a duplicate of selected W4.</w:t>
      </w:r>
    </w:p>
    <w:p>
      <w:pPr>
        <w:pStyle w:val="Heading2"/>
      </w:pPr>
      <w:r>
        <w:t>The new rule, counterexample and timing question</w:t>
      </w:r>
    </w:p>
    <w:p>
      <w:pPr>
        <w:pStyle w:val="ListBullet"/>
      </w:pPr>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book-topic classifier sees mystery books with triangular logos and science books with circular logos.</w:t>
      </w:r>
    </w:p>
    <w:p>
      <w:pPr>
        <w:spacing w:line="336" w:lineRule="auto" w:after="180"/>
      </w:pP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pPr>
      <w:r>
        <w:rPr>
          <w:b w:val="0"/>
        </w:rPr>
        <w:t>Does this one pair prove the classifier always ignores subject? Explain a narrower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book-topic classifier sees mystery books with triangular logos and science books with circular logos.</w:t>
      </w:r>
    </w:p>
    <w:p>
      <w:pPr>
        <w:pStyle w:val="Heading3"/>
      </w:pPr>
      <w:r>
        <w:t>Practice 1: explain the deciding evidence</w:t>
      </w:r>
    </w:p>
    <w:p>
      <w:pPr>
        <w:pStyle w:val="ListBullet"/>
      </w:pPr>
      <w:r>
        <w:t>Which labelled step matches this detail? Record predictions before concluding which clue the classifier uses.</w:t>
      </w:r>
    </w:p>
    <w:p>
      <w:pPr>
        <w:pStyle w:val="ListBullet"/>
      </w:pPr>
      <w:r>
        <w:t>1. Hold topic fixed</w:t>
      </w:r>
    </w:p>
    <w:p>
      <w:pPr>
        <w:pStyle w:val="ListBullet"/>
      </w:pPr>
      <w:r>
        <w:t>2. Hold logo fixed</w:t>
      </w:r>
    </w:p>
    <w:p>
      <w:pPr>
        <w:pStyle w:val="ListBullet"/>
      </w:pPr>
      <w:r>
        <w:t>3. Observe separately</w:t>
      </w:r>
    </w:p>
    <w:p>
      <w:pPr>
        <w:pStyle w:val="ListBullet"/>
      </w:pPr>
      <w:r>
        <w:t>4. Spot confounding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Observe separately Record </w:t>
      </w:r>
      <w:r>
        <w:rPr>
          <w:b/>
        </w:rPr>
        <w:t>prediction</w:t>
      </w:r>
      <w:r>
        <w:rPr>
          <w:b w:val="0"/>
        </w:rPr>
        <w:t>s before concluding which clue the classifier uses.</w:t>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pStyle w:val="Heading2"/>
      </w:pPr>
      <w:r>
        <w:t>Changed-case question</w:t>
      </w:r>
    </w:p>
    <w:p>
      <w:pPr>
        <w:pStyle w:val="Heading3"/>
      </w:pPr>
      <w:r>
        <w:t>Practice 2: explain the deciding evidence</w:t>
      </w:r>
    </w:p>
    <w:p>
      <w:pPr>
        <w:pStyle w:val="ListBullet"/>
      </w:pPr>
      <w:r>
        <w:t>Changed-case practice: The first controlled pair yields mystery for triangle and science for circle.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That pair is evidence of unwanted logo sensitivity.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pStyle w:val="Heading2"/>
      </w:pPr>
      <w:r>
        <w:t>Repair and save your work</w:t>
      </w:r>
    </w:p>
    <w:p>
      <w:pPr>
        <w:spacing w:line="336" w:lineRule="auto" w:after="180"/>
      </w:pPr>
      <w:r>
        <w:rPr>
          <w:b w:val="0"/>
        </w:rPr>
        <w:t xml:space="preserve">Review Operational Labels (ai-2/8). Goal: Apply a category definition using explicit </w:t>
      </w:r>
      <w:r>
        <w:rPr>
          <w:b/>
        </w:rPr>
        <w:t>evidence</w:t>
      </w:r>
      <w:r>
        <w:rPr>
          <w:b w:val="0"/>
        </w:rPr>
        <w:t xml:space="preserve"> and boundary rules. Short practice: Why can we not resolve the disagreement merely by taking a majority of reviewers?.</w:t>
      </w:r>
    </w:p>
    <w:p>
      <w:pPr>
        <w:spacing w:line="336" w:lineRule="auto" w:after="180"/>
      </w:pPr>
      <w:r>
        <w:rPr>
          <w:b w:val="0"/>
        </w:rPr>
        <w:t>Return to this week and explain what you changed.</w:t>
      </w:r>
    </w:p>
    <w:p>
      <w:pPr>
        <w:spacing w:line="336" w:lineRule="auto" w:after="180"/>
      </w:pPr>
      <w:r>
        <w:rPr>
          <w:b w:val="0"/>
        </w:rPr>
        <w:t>Review Debugging Strategies (ai-2/6). Goal: Design revealing tests for a function. Short practice: Which test most directly isolates the handling of loose books, and what should it produce?.</w:t>
      </w:r>
    </w:p>
    <w:p>
      <w:pPr>
        <w:spacing w:line="336" w:lineRule="auto" w:after="180"/>
      </w:pPr>
      <w:r>
        <w:rPr>
          <w:b w:val="0"/>
        </w:rPr>
        <w:t>Return to this week and explain what you changed.</w:t>
      </w:r>
    </w:p>
    <w:p>
      <w:pPr>
        <w:spacing w:line="336" w:lineRule="auto" w:after="180"/>
      </w:pPr>
      <w:r>
        <w:rPr>
          <w:b w:val="0"/>
        </w:rPr>
        <w:t>Review Branching Logic (ai-2/3). Goal: Trace the selected branch in an if elif else chain. Short practice: Give expected labels for −1,0,10,11 and identify the equality boundary for Short..</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Features and Distractors: the case</w:t>
      </w:r>
    </w:p>
    <w:p>
      <w:r>
        <w:drawing>
          <wp:inline xmlns:a="http://schemas.openxmlformats.org/drawingml/2006/main" xmlns:pic="http://schemas.openxmlformats.org/drawingml/2006/picture">
            <wp:extent cx="5486400" cy="2990088"/>
            <wp:docPr id="2" name="Picture 2"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The same cards under two feature choices</w:t>
      </w:r>
    </w:p>
    <w:p>
      <w:r>
        <w:drawing>
          <wp:inline xmlns:a="http://schemas.openxmlformats.org/drawingml/2006/main" xmlns:pic="http://schemas.openxmlformats.org/drawingml/2006/picture">
            <wp:extent cx="5486400" cy="2923032"/>
            <wp:docPr id="4" name="Picture 4"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Features and Distractors: the case</w:t>
      </w:r>
    </w:p>
    <w:p>
      <w:pPr>
        <w:pStyle w:val="Heading3"/>
      </w:pPr>
      <w:r>
        <w:t>02. Follow the deciding steps</w:t>
      </w:r>
    </w:p>
    <w:p>
      <w:pPr>
        <w:pStyle w:val="Heading3"/>
      </w:pPr>
      <w:r>
        <w:t>03. The same cards under two feature choices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