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ai-1/7</w:t>
      </w:r>
    </w:p>
    <w:p>
      <w:pPr>
        <w:pStyle w:val="Title"/>
      </w:pPr>
      <w:r>
        <w:t>Categories and Labels</w:t>
      </w:r>
    </w:p>
    <w:p>
      <w:r>
        <w:t>Project: Helpful Classroom Sorter</w:t>
      </w:r>
    </w:p>
    <w:p>
      <w:pPr>
        <w:pStyle w:val="Heading1"/>
      </w:pPr>
      <w:r>
        <w:t>Before you start</w:t>
      </w:r>
    </w:p>
    <w:p>
      <w:r>
        <w:t>Week 4: a rule must specify how unfamiliar cases are handled.</w:t>
      </w:r>
    </w:p>
    <w:p>
      <w:pPr>
        <w:pStyle w:val="Heading1"/>
      </w:pPr>
      <w:r>
        <w:t>01. Your mission</w:t>
      </w:r>
    </w:p>
    <w:p>
      <w:pPr>
        <w:pStyle w:val="Heading3"/>
      </w:pPr>
      <w:r>
        <w:t>Your learning target</w:t>
      </w:r>
    </w:p>
    <w:p>
      <w:r>
        <w:t>I can apply a category definition using explicit evidence and boundary rules.</w:t>
      </w:r>
    </w:p>
    <w:p>
      <w:r>
        <w:t>I can distinguish a known failure from information that is missing or unreadable.</w:t>
      </w:r>
    </w:p>
    <w:p>
      <w:r>
        <w:t>I can use disagreement to improve a labelling guide without mistaking agreement for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Sound Becomes a Signal. Give an example and a mistake that the idea helps you avoid.</w:t>
      </w:r>
    </w:p>
    <w:p>
      <w:r>
        <w:t>Without opening the old lesson, explain one key idea from Rules or Learned Patterns?. Give an example and a mistake that the idea helps you avoid.</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Labels are human choices that may overlap or be unclear.</w:t>
      </w:r>
    </w:p>
    <w:p>
      <w:r>
        <w:drawing>
          <wp:inline xmlns:a="http://schemas.openxmlformats.org/drawingml/2006/main" xmlns:pic="http://schemas.openxmlformats.org/drawingml/2006/picture">
            <wp:extent cx="3200400" cy="3200400"/>
            <wp:docPr id="1" name="Picture 1" descr="Concept illustration for Week 7: Categories and Labels"/>
            <wp:cNvGraphicFramePr>
              <a:graphicFrameLocks noChangeAspect="1"/>
            </wp:cNvGraphicFramePr>
            <a:graphic>
              <a:graphicData uri="http://schemas.openxmlformats.org/drawingml/2006/picture">
                <pic:pic>
                  <pic:nvPicPr>
                    <pic:cNvPr id="0" name="f5e7d44447dcf5bd3d114c2db502a4fa48990515f8a03df09d2e619b1d7cd84a.png"/>
                    <pic:cNvPicPr/>
                  </pic:nvPicPr>
                  <pic:blipFill>
                    <a:blip r:embed="rId9"/>
                    <a:stretch>
                      <a:fillRect/>
                    </a:stretch>
                  </pic:blipFill>
                  <pic:spPr>
                    <a:xfrm>
                      <a:off x="0" y="0"/>
                      <a:ext cx="3200400" cy="3200400"/>
                    </a:xfrm>
                    <a:prstGeom prst="rect"/>
                  </pic:spPr>
                </pic:pic>
              </a:graphicData>
            </a:graphic>
          </wp:inline>
        </w:drawing>
      </w:r>
    </w:p>
    <w:p>
      <w:r>
        <w:t>LEARNING TARGET  Your dataset labels 'reusable containers'. One team includes a disposable bottle reused once; another excludes it. Give an operational label rule and classify this boundary case under that rule. Explain why a different rule could be defensible.</w:t>
      </w:r>
    </w:p>
    <w:p>
      <w:r>
        <w:t>Learner name:</w:t>
      </w:r>
    </w:p>
    <w:p>
      <w:pPr>
        <w:pStyle w:val="Heading3"/>
      </w:pPr>
      <w:r>
        <w:t>Readiness for the connected explanation</w:t>
      </w:r>
    </w:p>
    <w:p>
      <w:r>
        <w:t>A transcript leaves out an unclear word. Why should a later system not simply treat that missing word as a known value?</w:t>
      </w:r>
    </w:p>
    <w:p>
      <w:pPr>
        <w:pStyle w:val="Heading3"/>
      </w:pPr>
      <w:r>
        <w:t>This week’s end goal</w:t>
      </w:r>
    </w:p>
    <w:p>
      <w:r>
        <w:t>By the end, I can apply a shared labelling policy consistently, including missing information.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playground object can be both red and round, a toy and sports equipment, or safe in one situation and unsafe in another.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objects and a purpose for sorting"/>
            <wp:cNvGraphicFramePr>
              <a:graphicFrameLocks noChangeAspect="1"/>
            </wp:cNvGraphicFramePr>
            <a:graphic>
              <a:graphicData uri="http://schemas.openxmlformats.org/drawingml/2006/picture">
                <pic:pic>
                  <pic:nvPicPr>
                    <pic:cNvPr id="0" name="3046f47d052bfd54301a0c96092f5fb75bdac2ec928b600e7bfc9c9223d28fe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eople define labels and assign examples"/>
            <wp:cNvGraphicFramePr>
              <a:graphicFrameLocks noChangeAspect="1"/>
            </wp:cNvGraphicFramePr>
            <a:graphic>
              <a:graphicData uri="http://schemas.openxmlformats.org/drawingml/2006/picture">
                <pic:pic>
                  <pic:nvPicPr>
                    <pic:cNvPr id="0" name="709e48d0ebf1861f134811121f35fd50d8a4aebd7afbb6cb308e644c2a66a0f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ategory names attached to items"/>
            <wp:cNvGraphicFramePr>
              <a:graphicFrameLocks noChangeAspect="1"/>
            </wp:cNvGraphicFramePr>
            <a:graphic>
              <a:graphicData uri="http://schemas.openxmlformats.org/drawingml/2006/picture">
                <pic:pic>
                  <pic:nvPicPr>
                    <pic:cNvPr id="0" name="24cd9f8643398d19acf99388b203f89d66de88836af4e0289cfb300b704bf57f.png"/>
                    <pic:cNvPicPr/>
                  </pic:nvPicPr>
                  <pic:blipFill>
                    <a:blip r:embed="rId13"/>
                    <a:stretch>
                      <a:fillRect/>
                    </a:stretch>
                  </pic:blipFill>
                  <pic:spPr>
                    <a:xfrm>
                      <a:off x="0" y="0"/>
                      <a:ext cx="4267200" cy="3200400"/>
                    </a:xfrm>
                    <a:prstGeom prst="rect"/>
                  </pic:spPr>
                </pic:pic>
              </a:graphicData>
            </a:graphic>
          </wp:inline>
        </w:drawing>
      </w:r>
    </w:p>
    <w:p>
      <w:r>
        <w:t>INPUT  objects and a purpose for sorting</w:t>
      </w:r>
    </w:p>
    <w:p>
      <w:r>
        <w:t>PROCESS  people define labels and assign examples</w:t>
      </w:r>
    </w:p>
    <w:p>
      <w:r>
        <w:t>OUTPUT  category names attached to items</w:t>
      </w:r>
    </w:p>
    <w:p>
      <w:r>
        <w:t>CORE IDEA  Labels are human choices that may overlap or be unclear.</w:t>
      </w:r>
    </w:p>
    <w:p>
      <w:r>
        <w:t>UNDER THE HOOD  A label is an operational definition chosen for a task. Categories may be mutually exclusive, multi-label, hierarchical, subjective, or context-dependent. Ambiguity in labels becomes ambiguity in training and evaluation.</w:t>
      </w:r>
    </w:p>
    <w:p>
      <w:r>
        <w:t>Draw a fresh example with all three stages:</w:t>
      </w:r>
    </w:p>
    <w:p>
      <w:pPr>
        <w:pStyle w:val="Heading3"/>
      </w:pPr>
      <w:r>
        <w:t>A closer explanation</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d ball: red and round; multiple descriptive labels"/>
            <wp:cNvGraphicFramePr>
              <a:graphicFrameLocks noChangeAspect="1"/>
            </wp:cNvGraphicFramePr>
            <a:graphic>
              <a:graphicData uri="http://schemas.openxmlformats.org/drawingml/2006/picture">
                <pic:pic>
                  <pic:nvPicPr>
                    <pic:cNvPr id="0" name="956d02e55c8231fec2f9d8a220e222f2d10f0e43b1c490b010f706b7a892ab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isbee: toy or sports equipment; purpose changes label"/>
            <wp:cNvGraphicFramePr>
              <a:graphicFrameLocks noChangeAspect="1"/>
            </wp:cNvGraphicFramePr>
            <a:graphic>
              <a:graphicData uri="http://schemas.openxmlformats.org/drawingml/2006/picture">
                <pic:pic>
                  <pic:nvPicPr>
                    <pic:cNvPr id="0" name="dd227278781f2c07dff01575d1f65feb24c0a05af7d1a9f64a2a07dfe5475ba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t slide: equipment and possible hazard; context matters"/>
            <wp:cNvGraphicFramePr>
              <a:graphicFrameLocks noChangeAspect="1"/>
            </wp:cNvGraphicFramePr>
            <a:graphic>
              <a:graphicData uri="http://schemas.openxmlformats.org/drawingml/2006/picture">
                <pic:pic>
                  <pic:nvPicPr>
                    <pic:cNvPr id="0" name="414962dbbfdac58f5e1757b3fbb4134dd82c082a137e00de23c975e421e8740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ystery object: insufficient features; need more information"/>
            <wp:cNvGraphicFramePr>
              <a:graphicFrameLocks noChangeAspect="1"/>
            </wp:cNvGraphicFramePr>
            <a:graphic>
              <a:graphicData uri="http://schemas.openxmlformats.org/drawingml/2006/picture">
                <pic:pic>
                  <pic:nvPicPr>
                    <pic:cNvPr id="0" name="df6e3d14c8ef9d31cca9b37561476139acb245a517af8f8c8bea5c499a28f791.png"/>
                    <pic:cNvPicPr/>
                  </pic:nvPicPr>
                  <pic:blipFill>
                    <a:blip r:embed="rId17"/>
                    <a:stretch>
                      <a:fillRect/>
                    </a:stretch>
                  </pic:blipFill>
                  <pic:spPr>
                    <a:xfrm>
                      <a:off x="0" y="0"/>
                      <a:ext cx="3574472" cy="2660072"/>
                    </a:xfrm>
                    <a:prstGeom prst="rect"/>
                  </pic:spPr>
                </pic:pic>
              </a:graphicData>
            </a:graphic>
          </wp:inline>
        </w:drawing>
      </w:r>
    </w:p>
    <w:p>
      <w:r>
        <w:t>CASE 1 — Red ball  Clue: red and round. Meaning: multiple descriptive labels.</w:t>
      </w:r>
    </w:p>
    <w:p>
      <w:r>
        <w:t>CASE 2 — Frisbee  Clue: toy or sports equipment. Meaning: purpose changes label.</w:t>
      </w:r>
    </w:p>
    <w:p>
      <w:r>
        <w:t>CASE 3 — Wet slide  Clue: equipment and possible hazard. Meaning: context matters.</w:t>
      </w:r>
    </w:p>
    <w:p>
      <w:r>
        <w:t>CASE 4 — Mystery object  Clue: insufficient features. Meaning: need more information.</w:t>
      </w:r>
    </w:p>
    <w:p>
      <w:r>
        <w:t>BOUNDARY  Labels do not exist naturally in the data; people define them for a purpose.</w:t>
      </w:r>
    </w:p>
    <w:p>
      <w:r>
        <w:t>Which two pictures are easiest to confuse? What evidence separates them?</w:t>
      </w:r>
    </w:p>
    <w:p>
      <w:pPr>
        <w:pStyle w:val="Heading3"/>
      </w:pPr>
      <w:r>
        <w:t>Change one thing in the pictured case</w:t>
      </w:r>
    </w:p>
    <w:p>
      <w:r>
        <w:t>Change: Change B’s quantity from 5 to 4; leave colour blank.</w:t>
      </w:r>
    </w:p>
    <w:p>
      <w:r>
        <w:t>Prediction: B becomes review.</w:t>
      </w:r>
    </w:p>
    <w:p>
      <w:r>
        <w:t>Reason: The known failure is removed, but a required field is still missing.</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ategory: group created for a purpose"/>
            <wp:cNvGraphicFramePr>
              <a:graphicFrameLocks noChangeAspect="1"/>
            </wp:cNvGraphicFramePr>
            <a:graphic>
              <a:graphicData uri="http://schemas.openxmlformats.org/drawingml/2006/picture">
                <pic:pic>
                  <pic:nvPicPr>
                    <pic:cNvPr id="0" name="7f110eca65d3b34eb5d1618c729bf2993d0e7ac788e207529f930983c04bb6e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abel: name assigned to an example"/>
            <wp:cNvGraphicFramePr>
              <a:graphicFrameLocks noChangeAspect="1"/>
            </wp:cNvGraphicFramePr>
            <a:graphic>
              <a:graphicData uri="http://schemas.openxmlformats.org/drawingml/2006/picture">
                <pic:pic>
                  <pic:nvPicPr>
                    <pic:cNvPr id="0" name="3d4bde51bac9a5e7c76d7d86c3e236dd158092eb48d208408306e832bf14999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verlap: when more than one label can fit"/>
            <wp:cNvGraphicFramePr>
              <a:graphicFrameLocks noChangeAspect="1"/>
            </wp:cNvGraphicFramePr>
            <a:graphic>
              <a:graphicData uri="http://schemas.openxmlformats.org/drawingml/2006/picture">
                <pic:pic>
                  <pic:nvPicPr>
                    <pic:cNvPr id="0" name="40b9f019303d8105a5412cedf5a326c0b7f331f5331f655cb9fd2038bed7a32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mbiguity: when evidence allows multiple reasonable meanings"/>
            <wp:cNvGraphicFramePr>
              <a:graphicFrameLocks noChangeAspect="1"/>
            </wp:cNvGraphicFramePr>
            <a:graphic>
              <a:graphicData uri="http://schemas.openxmlformats.org/drawingml/2006/picture">
                <pic:pic>
                  <pic:nvPicPr>
                    <pic:cNvPr id="0" name="1e17ac5fcd31eacef7df7148c8494485c2fe6d1e9ff6b9045d2a1a477d2bad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category</w:t>
            </w:r>
          </w:p>
        </w:tc>
        <w:tc>
          <w:tcPr>
            <w:tcW w:type="dxa" w:w="3408"/>
          </w:tcPr>
          <w:p>
            <w:r>
              <w:t>group created for a purpose</w:t>
            </w:r>
          </w:p>
        </w:tc>
        <w:tc>
          <w:tcPr>
            <w:tcW w:type="dxa" w:w="3408"/>
          </w:tcPr>
          <w:p>
            <w:r/>
          </w:p>
        </w:tc>
      </w:tr>
      <w:tr>
        <w:tc>
          <w:tcPr>
            <w:tcW w:type="dxa" w:w="3408"/>
          </w:tcPr>
          <w:p>
            <w:r>
              <w:t>label</w:t>
            </w:r>
          </w:p>
        </w:tc>
        <w:tc>
          <w:tcPr>
            <w:tcW w:type="dxa" w:w="3408"/>
          </w:tcPr>
          <w:p>
            <w:r>
              <w:t>name assigned to an example</w:t>
            </w:r>
          </w:p>
        </w:tc>
        <w:tc>
          <w:tcPr>
            <w:tcW w:type="dxa" w:w="3408"/>
          </w:tcPr>
          <w:p>
            <w:r/>
          </w:p>
        </w:tc>
      </w:tr>
      <w:tr>
        <w:tc>
          <w:tcPr>
            <w:tcW w:type="dxa" w:w="3408"/>
          </w:tcPr>
          <w:p>
            <w:r>
              <w:t>overlap</w:t>
            </w:r>
          </w:p>
        </w:tc>
        <w:tc>
          <w:tcPr>
            <w:tcW w:type="dxa" w:w="3408"/>
          </w:tcPr>
          <w:p>
            <w:r>
              <w:t>when more than one label can fit</w:t>
            </w:r>
          </w:p>
        </w:tc>
        <w:tc>
          <w:tcPr>
            <w:tcW w:type="dxa" w:w="3408"/>
          </w:tcPr>
          <w:p>
            <w:r/>
          </w:p>
        </w:tc>
      </w:tr>
      <w:tr>
        <w:tc>
          <w:tcPr>
            <w:tcW w:type="dxa" w:w="3408"/>
          </w:tcPr>
          <w:p>
            <w:r>
              <w:t>ambiguity</w:t>
            </w:r>
          </w:p>
        </w:tc>
        <w:tc>
          <w:tcPr>
            <w:tcW w:type="dxa" w:w="3408"/>
          </w:tcPr>
          <w:p>
            <w:r>
              <w:t>when evidence allows multiple reasonable meanings</w:t>
            </w:r>
          </w:p>
        </w:tc>
        <w:tc>
          <w:tcPr>
            <w:tcW w:type="dxa" w:w="3408"/>
          </w:tcPr>
          <w:p>
            <w:r/>
          </w:p>
        </w:tc>
      </w:tr>
    </w:tbl>
    <w:p>
      <w:pPr>
        <w:pStyle w:val="Heading3"/>
      </w:pPr>
      <w:r>
        <w:t>Misconception detective</w:t>
      </w:r>
    </w:p>
    <w:p>
      <w:r>
        <w:t>CLAIM TO REPAIR  Every object has exactly one correct label.</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playground object can be both red and round, a toy and sports equipment, or safe in one situation and unsafe in another.</w:t>
      </w:r>
    </w:p>
    <w:p>
      <w:r>
        <w:t>STEP 1 — OBSERVE  objects and a purpose for sorting</w:t>
      </w:r>
    </w:p>
    <w:p>
      <w:r>
        <w:t>STEP 2 — TRACE  people define labels and assign examples</w:t>
      </w:r>
    </w:p>
    <w:p>
      <w:r>
        <w:t>STEP 3 — CONCLUDE  category names attached to items</w:t>
      </w:r>
    </w:p>
    <w:p>
      <w:r>
        <w:t>MODEL REASONING  Strong labels include a purpose and a rule for membership. Overlapping objects may need multiple labels or a priority rule. A revised definition should reduce disagreement without pretending every case is simple.</w:t>
      </w:r>
    </w:p>
    <w:p>
      <w:r>
        <w:t>DO NOT OVERCLAIM  Labels do not exist naturally in the data; people define them for a purpose.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Categories and Labels</w:t>
      </w:r>
    </w:p>
    <w:p>
      <w:r>
        <w:t>A fictional craft club labels cardboard-order cards ready, review or revise.</w:t>
      </w:r>
    </w:p>
    <w:p>
      <w:pPr>
        <w:pStyle w:val="Heading3"/>
      </w:pPr>
      <w:r>
        <w:t>The facts we will use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5" name="Picture 15"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policy</w:t>
            </w:r>
          </w:p>
        </w:tc>
        <w:tc>
          <w:tcPr>
            <w:tcW w:type="dxa" w:w="5112"/>
          </w:tcPr>
          <w:p>
            <w:r>
              <w:t>Check known invalid fields before checking missing ones.</w:t>
            </w:r>
          </w:p>
        </w:tc>
      </w:tr>
      <w:tr>
        <w:tc>
          <w:tcPr>
            <w:tcW w:type="dxa" w:w="5112"/>
          </w:tcPr>
          <w:p>
            <w:r>
              <w:t>2. Card A</w:t>
            </w:r>
          </w:p>
        </w:tc>
        <w:tc>
          <w:tcPr>
            <w:tcW w:type="dxa" w:w="5112"/>
          </w:tcPr>
          <w:p>
            <w:r>
              <w:t>4 is allowed and red is allowed: ready.</w:t>
            </w:r>
          </w:p>
        </w:tc>
      </w:tr>
      <w:tr>
        <w:tc>
          <w:tcPr>
            <w:tcW w:type="dxa" w:w="5112"/>
          </w:tcPr>
          <w:p>
            <w:r>
              <w:t>3. Card B</w:t>
            </w:r>
          </w:p>
        </w:tc>
        <w:tc>
          <w:tcPr>
            <w:tcW w:type="dxa" w:w="5112"/>
          </w:tcPr>
          <w:p>
            <w:r>
              <w:t>5 is outside 1–4: revise, even though colour is missing.</w:t>
            </w:r>
          </w:p>
        </w:tc>
      </w:tr>
      <w:tr>
        <w:tc>
          <w:tcPr>
            <w:tcW w:type="dxa" w:w="5112"/>
          </w:tcPr>
          <w:p>
            <w:r>
              <w:t>4. Card C</w:t>
            </w:r>
          </w:p>
        </w:tc>
        <w:tc>
          <w:tcPr>
            <w:tcW w:type="dxa" w:w="5112"/>
          </w:tcPr>
          <w:p>
            <w:r>
              <w:t>2 is valid but colour is blank: review.</w:t>
            </w:r>
          </w:p>
        </w:tc>
      </w:tr>
    </w:tbl>
    <w:p>
      <w:r>
        <w:t>Match each pictured step to the supplied facts. This is a worked teaching case, not an independent assessment.</w:t>
      </w:r>
    </w:p>
    <w:p>
      <w:pPr>
        <w:pStyle w:val="Heading3"/>
      </w:pPr>
      <w:r>
        <w:t>Why this result follows</w:t>
      </w:r>
    </w:p>
    <w:p>
      <w:r>
        <w:t>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What this example does not establish</w:t>
      </w:r>
    </w:p>
    <w:p>
      <w:r>
        <w:t>Agreement between labellers does not prove this policy is suitable for every school or that labels are objective truths.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Red ball</w:t>
            </w:r>
          </w:p>
        </w:tc>
        <w:tc>
          <w:tcPr>
            <w:tcW w:type="dxa" w:w="3408"/>
          </w:tcPr>
          <w:p>
            <w:r>
              <w:t>red and round</w:t>
            </w:r>
          </w:p>
        </w:tc>
        <w:tc>
          <w:tcPr>
            <w:tcW w:type="dxa" w:w="3408"/>
          </w:tcPr>
          <w:p>
            <w:r>
              <w:t>multiple descriptive labels</w:t>
            </w:r>
          </w:p>
        </w:tc>
      </w:tr>
      <w:tr>
        <w:tc>
          <w:tcPr>
            <w:tcW w:type="dxa" w:w="3408"/>
          </w:tcPr>
          <w:p>
            <w:r>
              <w:t>Frisbee</w:t>
            </w:r>
          </w:p>
        </w:tc>
        <w:tc>
          <w:tcPr>
            <w:tcW w:type="dxa" w:w="3408"/>
          </w:tcPr>
          <w:p>
            <w:r>
              <w:t>toy or sports equipment</w:t>
            </w:r>
          </w:p>
        </w:tc>
        <w:tc>
          <w:tcPr>
            <w:tcW w:type="dxa" w:w="3408"/>
          </w:tcPr>
          <w:p>
            <w:r>
              <w:t>purpose changes label</w:t>
            </w:r>
          </w:p>
        </w:tc>
      </w:tr>
      <w:tr>
        <w:tc>
          <w:tcPr>
            <w:tcW w:type="dxa" w:w="3408"/>
          </w:tcPr>
          <w:p>
            <w:r>
              <w:t>Wet slide</w:t>
            </w:r>
          </w:p>
        </w:tc>
        <w:tc>
          <w:tcPr>
            <w:tcW w:type="dxa" w:w="3408"/>
          </w:tcPr>
          <w:p>
            <w:r>
              <w:t>equipment and possible hazard</w:t>
            </w:r>
          </w:p>
        </w:tc>
        <w:tc>
          <w:tcPr>
            <w:tcW w:type="dxa" w:w="3408"/>
          </w:tcPr>
          <w:p>
            <w:r>
              <w:t>context matters</w:t>
            </w:r>
          </w:p>
        </w:tc>
      </w:tr>
      <w:tr>
        <w:tc>
          <w:tcPr>
            <w:tcW w:type="dxa" w:w="3408"/>
          </w:tcPr>
          <w:p>
            <w:r>
              <w:t>Mystery object</w:t>
            </w:r>
          </w:p>
        </w:tc>
        <w:tc>
          <w:tcPr>
            <w:tcW w:type="dxa" w:w="3408"/>
          </w:tcPr>
          <w:p>
            <w:r>
              <w:t>insufficient features</w:t>
            </w:r>
          </w:p>
        </w:tc>
        <w:tc>
          <w:tcPr>
            <w:tcW w:type="dxa" w:w="3408"/>
          </w:tcPr>
          <w:p>
            <w:r>
              <w:t>need more information</w:t>
            </w:r>
          </w:p>
        </w:tc>
      </w:tr>
    </w:tbl>
    <w:p>
      <w:pPr>
        <w:pStyle w:val="Heading3"/>
      </w:pPr>
      <w:r>
        <w:t>Repair two tempting claims</w:t>
      </w:r>
    </w:p>
    <w:p>
      <w:r>
        <w:t>CLAIM A  Every object has exactly one correct label.</w:t>
      </w:r>
    </w:p>
    <w:p>
      <w:r>
        <w:t>Repair:</w:t>
      </w:r>
    </w:p>
    <w:p>
      <w:r>
        <w:t>CLAIM B  Disagreement proves one person was careless.</w:t>
      </w:r>
    </w:p>
    <w:p>
      <w:r>
        <w:t>Repair:</w:t>
      </w:r>
    </w:p>
    <w:p>
      <w:r>
        <w:t>STRONG ANSWER FRAME  I claim ______ because the evidence shows ______. The process is ______. One limit is ______.</w:t>
      </w:r>
    </w:p>
    <w:p>
      <w:pPr>
        <w:pStyle w:val="Heading3"/>
      </w:pPr>
      <w:r>
        <w:t>A closer explanation</w:t>
      </w:r>
    </w:p>
    <w:p>
      <w:r>
        <w:t>If two annotators agree on four of six cards, we know that four assigned labels matched. We do not yet know whether those labels followed the guide. Both annotators might have made the same mistake. Check their reasoning against the criteria and, where necessary, the source record.</w:t>
      </w:r>
    </w:p>
    <w:p>
      <w:r>
        <w:t>Even perfect agreement under our calendar policy would not prove that the room is really booked. It would only show agreement about whether the printed fields pass the specified checks. The policy itself may need changes for a real calendar. Record the policy version so examples labelled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Labels are human choices that may overlap or be unclear.</w:t>
      </w:r>
    </w:p>
    <w:p>
      <w:r>
        <w:t>Use a fresh example to explain category.</w:t>
      </w:r>
    </w:p>
    <w:p>
      <w:r>
        <w:t>Trace a new input → process → output example.</w:t>
      </w:r>
    </w:p>
    <w:p>
      <w:r>
        <w:t>Find and repair the error in: Disagreement proves one person was careless.</w:t>
      </w:r>
    </w:p>
    <w:p>
      <w:r>
        <w:t>Invent one edge case and name the safe response.</w:t>
      </w:r>
    </w:p>
    <w:p>
      <w:r>
        <w:t>PARTNER CHECK  Point to the evidence. Do not accept an answer that only repeats the vocabulary word.</w:t>
      </w:r>
    </w:p>
    <w:p>
      <w:pPr>
        <w:pStyle w:val="Heading3"/>
      </w:pPr>
      <w:r>
        <w:t>A closer explanation</w:t>
      </w:r>
    </w:p>
    <w:p>
      <w:r>
        <w:t>Mina labels day 30, room B as ready; Theo labels it revise because he thought the range stopped before 30. The disagreement points to a boundary interpretation. The guide says including both endpoints, so 30 passes. The appropriate repair is to clarify and practise the inclusive boundary, not to change the label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Ask annotators to label examples independently before comparing. If they copy one another, agreement no longer tells us whether the guide can be applied independently. Keep the original labels and reasons when discussing differences, then record any corrected labels separately.</w:t>
      </w:r>
    </w:p>
    <w:p>
      <w:pPr>
        <w:pStyle w:val="Heading3"/>
      </w:pPr>
      <w:r>
        <w:t>Practise with less help: Replace a vague instruction</w:t>
      </w:r>
    </w:p>
    <w:p>
      <w:r>
        <w:t>Use workbook W2 for the connected example “Categories and operational labels”.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Categories and operational labels. Proposed explanation: “A blank is the same as a failing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B originally was revise rather than review, then label its changed version.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Playground Label Council</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Design labels for playground objects; challenge ambiguous cards.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category.</w:t>
      </w:r>
    </w:p>
    <w:p>
      <w:r>
        <w:t>EXPLAIN  Labels are human choices that may overlap or be unclear.</w:t>
      </w:r>
    </w:p>
    <w:p>
      <w:r>
        <w:t>TRACE  Show the input, process, and output.</w:t>
      </w:r>
    </w:p>
    <w:p>
      <w:r>
        <w:t>DIAGNOSE  Repair: Every object has exactly one correct label.</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Define the Classroom Sorter's bin labels and write how to handle objects that reasonably fit more than one bin.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Labels do not exist naturally in the data; people define them for a purpose.</w:t>
      </w:r>
    </w:p>
    <w:p>
      <w:r>
        <w:t>My project decision:</w:t>
      </w:r>
    </w:p>
    <w:p>
      <w:pPr>
        <w:pStyle w:val="Heading3"/>
      </w:pPr>
      <w:r>
        <w:t>Evidence for your project</w:t>
      </w:r>
    </w:p>
    <w:p>
      <w:r>
        <w:t>Write a sorter label guide with examples of complete, invalid and unresolved inputs before comparing labels.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Create labels for six playground objects, identify two overlapping cases, and revise one label definition so another team can apply it consistently.</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Strong labels include a purpose and a rule for membership. Overlapping objects may need multiple labels or a priority rule. A revised definition should reduce disagreement without pretending every case is simple.</w:t>
      </w:r>
    </w:p>
    <w:p>
      <w:r>
        <w:t>My level:  □ Not yet  □ With one hint  □ Independently  □ I can teach it</w:t>
      </w:r>
    </w:p>
    <w:p>
      <w:r>
        <w:t>NEXT BRIDGE  Carry today's evidence habit into: Features: Useful Clues.</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Six cards show two circles, two triangles and two squares. Sort by shape.</w:t>
      </w:r>
    </w:p>
    <w:p>
      <w:pPr>
        <w:pStyle w:val="Heading3"/>
      </w:pPr>
      <w:r>
        <w:t>The question</w:t>
      </w:r>
    </w:p>
    <w:p>
      <w:r>
        <w:t>Why can red and blue circles share a label?</w:t>
      </w:r>
    </w:p>
    <w:p>
      <w:pPr>
        <w:pStyle w:val="Heading3"/>
      </w:pPr>
      <w:r>
        <w:t>Worked explanation</w:t>
      </w:r>
    </w:p>
    <w:p>
      <w:r>
        <w:t>Both meet the circle definition. Colour does not change the agreed shape label. Apply one definition consistently.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same label rule for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Circles</w:t>
            </w:r>
          </w:p>
        </w:tc>
        <w:tc>
          <w:tcPr>
            <w:tcW w:type="dxa" w:w="5112"/>
          </w:tcPr>
          <w:p>
            <w:r>
              <w:t>2</w:t>
            </w:r>
          </w:p>
        </w:tc>
      </w:tr>
      <w:tr>
        <w:tc>
          <w:tcPr>
            <w:tcW w:type="dxa" w:w="5112"/>
          </w:tcPr>
          <w:p>
            <w:r>
              <w:t>Triangles</w:t>
            </w:r>
          </w:p>
        </w:tc>
        <w:tc>
          <w:tcPr>
            <w:tcW w:type="dxa" w:w="5112"/>
          </w:tcPr>
          <w:p>
            <w:r>
              <w:t>2</w:t>
            </w:r>
          </w:p>
        </w:tc>
      </w:tr>
      <w:tr>
        <w:tc>
          <w:tcPr>
            <w:tcW w:type="dxa" w:w="5112"/>
          </w:tcPr>
          <w:p>
            <w:r>
              <w:t>Squares</w:t>
            </w:r>
          </w:p>
        </w:tc>
        <w:tc>
          <w:tcPr>
            <w:tcW w:type="dxa" w:w="5112"/>
          </w:tcPr>
          <w:p>
            <w:r>
              <w:t>2</w:t>
            </w:r>
          </w:p>
        </w:tc>
      </w:tr>
    </w:tbl>
    <w:p>
      <w:r>
        <w:t>Six cards show two circles, two triangles and two squares. Sort by shape.</w:t>
      </w:r>
    </w:p>
    <w:p>
      <w:r>
        <w:t>Why can red and blue circles share a label?</w:t>
      </w:r>
    </w:p>
    <w:p>
      <w:r>
        <w:t>Both meet the circle definition. Colour does not change the agreed shape label. Apply one definition consistently.</w:t>
      </w:r>
    </w:p>
    <w:p>
      <w:pPr>
        <w:pStyle w:val="Heading1"/>
      </w:pPr>
      <w:r>
        <w:t>14. Try a new case independently</w:t>
      </w:r>
    </w:p>
    <w:p>
      <w:pPr>
        <w:pStyle w:val="Heading3"/>
      </w:pPr>
      <w:r>
        <w:t>Independent case: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The rule is: fruit has seeds; other objects go in other. Sort an apple, a pencil and a sealed mystery box. Which item needs more evidence,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the Classroom Sorter's bin labels and write how to handle objects that reasonably fit more than one bin.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