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ai-1/21</w:t>
      </w:r>
    </w:p>
    <w:p>
      <w:pPr>
        <w:pStyle w:val="Title"/>
      </w:pPr>
      <w:r>
        <w:t>Good Data, Bad Data</w:t>
      </w:r>
    </w:p>
    <w:p>
      <w:r>
        <w:t>Project: Helpful Classroom Sorter</w:t>
      </w:r>
    </w:p>
    <w:p>
      <w:pPr>
        <w:pStyle w:val="Heading1"/>
      </w:pPr>
      <w:r>
        <w:t>Before you start</w:t>
      </w:r>
    </w:p>
    <w:p>
      <w:r>
        <w:t>Week 3: measurements require units and a consistent method.</w:t>
      </w:r>
    </w:p>
    <w:p>
      <w:pPr>
        <w:pStyle w:val="Heading1"/>
      </w:pPr>
      <w:r>
        <w:t>01. Your mission</w:t>
      </w:r>
    </w:p>
    <w:p>
      <w:pPr>
        <w:pStyle w:val="Heading3"/>
      </w:pPr>
      <w:r>
        <w:t>Your learning target</w:t>
      </w:r>
    </w:p>
    <w:p>
      <w:r>
        <w:t>I can check records against a stated format, unit and meaning before using them.</w:t>
      </w:r>
    </w:p>
    <w:p>
      <w:r>
        <w:t>I can distinguish an evidence-based correction from an unsupported guess.</w:t>
      </w:r>
    </w:p>
    <w:p>
      <w:r>
        <w:t>I can keep original values and a change log, then report what remains unresolved.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Recommendations. Give an example and a mistake that the idea helps you avoid.</w:t>
      </w:r>
    </w:p>
    <w:p>
      <w:r>
        <w:t>Without opening the old lesson, explain one key idea from Confidence Is Not Correctness. Give an example and a mistake that the idea helps you avoid.</w:t>
      </w:r>
    </w:p>
    <w:p>
      <w:r>
        <w:t>Without opening the old lesson, explain one key idea from Save New Examples for Testing. Give an example and a mistake that the idea helps you avoid.</w:t>
      </w:r>
    </w:p>
    <w:p>
      <w:r>
        <w:t>After trying, check the relevant lesson or ask your teacher. Change the part of your explanation that the evidence shows was wrong.</w:t>
      </w:r>
    </w:p>
    <w:p>
      <w:r>
        <w:t>Coverage, correctness, and relevance matter more than raw quantity.</w:t>
      </w:r>
    </w:p>
    <w:p>
      <w:r>
        <w:drawing>
          <wp:inline xmlns:a="http://schemas.openxmlformats.org/drawingml/2006/main" xmlns:pic="http://schemas.openxmlformats.org/drawingml/2006/picture">
            <wp:extent cx="3200400" cy="3200400"/>
            <wp:docPr id="1" name="Picture 1" descr="Concept illustration for Week 21: Good Data, Bad Data"/>
            <wp:cNvGraphicFramePr>
              <a:graphicFrameLocks noChangeAspect="1"/>
            </wp:cNvGraphicFramePr>
            <a:graphic>
              <a:graphicData uri="http://schemas.openxmlformats.org/drawingml/2006/picture">
                <pic:pic>
                  <pic:nvPicPr>
                    <pic:cNvPr id="0" name="a84941f573aa76645eaad0aa76060af88e413efbf3b3e93a07c802cb01ec4c9f.png"/>
                    <pic:cNvPicPr/>
                  </pic:nvPicPr>
                  <pic:blipFill>
                    <a:blip r:embed="rId9"/>
                    <a:stretch>
                      <a:fillRect/>
                    </a:stretch>
                  </pic:blipFill>
                  <pic:spPr>
                    <a:xfrm>
                      <a:off x="0" y="0"/>
                      <a:ext cx="3200400" cy="3200400"/>
                    </a:xfrm>
                    <a:prstGeom prst="rect"/>
                  </pic:spPr>
                </pic:pic>
              </a:graphicData>
            </a:graphic>
          </wp:inline>
        </w:drawing>
      </w:r>
    </w:p>
    <w:p>
      <w:r>
        <w:t>LEARNING TARGET  A table lists leaf lengths 8 cm, 90 mm, blank and 700 cm. Propose a documented cleaning action for each row. Which values can you safely change immediately?</w:t>
      </w:r>
    </w:p>
    <w:p>
      <w:r>
        <w:t>Learner name:</w:t>
      </w:r>
    </w:p>
    <w:p>
      <w:pPr>
        <w:pStyle w:val="Heading3"/>
      </w:pPr>
      <w:r>
        <w:t>Readiness for the connected explanation</w:t>
      </w:r>
    </w:p>
    <w:p>
      <w:r>
        <w:t>A recommender needs availability, but that field is blank. Can the highest preference score establish that the item is available? Explain.</w:t>
      </w:r>
    </w:p>
    <w:p>
      <w:pPr>
        <w:pStyle w:val="Heading3"/>
      </w:pPr>
      <w:r>
        <w:t>This week’s end goal</w:t>
      </w:r>
    </w:p>
    <w:p>
      <w:r>
        <w:t>By the end, I can repair data with traceable evidence while preserving valid zero and unknown.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One animal dataset has 1,000 blurry duplicate photos; another has 120 clear, correctly labeled photos across settings and animal types.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tidy table can still contain wrong information. Validation checks whether a record follows a schema. A schema says which fields are required and what their values mean. Passing these checks makes a record usable for a stated task; it does not prove that the measurement or claim is true.</w:t>
      </w:r>
    </w:p>
    <w:p>
      <w:r>
        <w:t>Our fictional RampLog records one ramp trial per trial ID. The fields are trial ID, height in centimetres, travel in centimetres and source card. Height must be a whole number from 1 through 10. Travel must be a whole number from 0 through 10. The source card identifies the original observation. Repeated trial IDs need investigation before counting trials.</w:t>
      </w:r>
    </w:p>
    <w:p>
      <w:r>
        <w:t>The purpose is to count trials whose travel is at least 4 cm. A measured zero means no travel; a blank means no value was recorded. Never silently replace a blank by zero. Use only the invented records here; no personal information is needed.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ollected examples and labels"/>
            <wp:cNvGraphicFramePr>
              <a:graphicFrameLocks noChangeAspect="1"/>
            </wp:cNvGraphicFramePr>
            <a:graphic>
              <a:graphicData uri="http://schemas.openxmlformats.org/drawingml/2006/picture">
                <pic:pic>
                  <pic:nvPicPr>
                    <pic:cNvPr id="0" name="c69652445a3213cf26ef13587bb90e421e201389c3ec966bc50460999e83957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udit coverage, correctness, relevance, and duplication"/>
            <wp:cNvGraphicFramePr>
              <a:graphicFrameLocks noChangeAspect="1"/>
            </wp:cNvGraphicFramePr>
            <a:graphic>
              <a:graphicData uri="http://schemas.openxmlformats.org/drawingml/2006/picture">
                <pic:pic>
                  <pic:nvPicPr>
                    <pic:cNvPr id="0" name="3edb398f77ec1ce3f263220973f70a8b942bbea21fc957227ae8c3912c93a466.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ccept, repair, or reject the dataset"/>
            <wp:cNvGraphicFramePr>
              <a:graphicFrameLocks noChangeAspect="1"/>
            </wp:cNvGraphicFramePr>
            <a:graphic>
              <a:graphicData uri="http://schemas.openxmlformats.org/drawingml/2006/picture">
                <pic:pic>
                  <pic:nvPicPr>
                    <pic:cNvPr id="0" name="48ee96b03f94df3eef60fe307d75fb86ee256fe5b2d43aa61f7f5968286629c7.png"/>
                    <pic:cNvPicPr/>
                  </pic:nvPicPr>
                  <pic:blipFill>
                    <a:blip r:embed="rId13"/>
                    <a:stretch>
                      <a:fillRect/>
                    </a:stretch>
                  </pic:blipFill>
                  <pic:spPr>
                    <a:xfrm>
                      <a:off x="0" y="0"/>
                      <a:ext cx="4267200" cy="3200400"/>
                    </a:xfrm>
                    <a:prstGeom prst="rect"/>
                  </pic:spPr>
                </pic:pic>
              </a:graphicData>
            </a:graphic>
          </wp:inline>
        </w:drawing>
      </w:r>
    </w:p>
    <w:p>
      <w:r>
        <w:t>INPUT  collected examples and labels</w:t>
      </w:r>
    </w:p>
    <w:p>
      <w:r>
        <w:t>PROCESS  audit coverage, correctness, relevance, and duplication</w:t>
      </w:r>
    </w:p>
    <w:p>
      <w:r>
        <w:t>OUTPUT  accept, repair, or reject the dataset</w:t>
      </w:r>
    </w:p>
    <w:p>
      <w:r>
        <w:t>CORE IDEA  Coverage, correctness, and relevance matter more than raw quantity.</w:t>
      </w:r>
    </w:p>
    <w:p>
      <w:r>
        <w:t>UNDER THE HOOD  Data quality is multidimensional. More rows can amplify duplicates, systematic labeling errors, stale conditions, or irrelevant fields. Fitness depends on the intended population and decision, not a universal quality score.</w:t>
      </w:r>
    </w:p>
    <w:p>
      <w:r>
        <w:t>Draw a fresh example with all three stages:</w:t>
      </w:r>
    </w:p>
    <w:p>
      <w:pPr>
        <w:pStyle w:val="Heading3"/>
      </w:pPr>
      <w:r>
        <w:t>A closer explanation</w:t>
      </w:r>
    </w:p>
    <w:p>
      <w:pPr>
        <w:pStyle w:val="Heading3"/>
      </w:pPr>
      <w:r>
        <w:t>Preserve the original and explain each decision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record</w:t>
            </w:r>
          </w:p>
        </w:tc>
        <w:tc>
          <w:tcPr>
            <w:tcW w:type="dxa" w:w="3408"/>
          </w:tcPr>
          <w:p>
            <w:r>
              <w:t>Evidence check</w:t>
            </w:r>
          </w:p>
        </w:tc>
        <w:tc>
          <w:tcPr>
            <w:tcW w:type="dxa" w:w="3408"/>
          </w:tcPr>
          <w:p>
            <w:r>
              <w:t>Working decision</w:t>
            </w:r>
          </w:p>
        </w:tc>
      </w:tr>
      <w:tr>
        <w:tc>
          <w:tcPr>
            <w:tcW w:type="dxa" w:w="3408"/>
          </w:tcPr>
          <w:p>
            <w:r>
              <w:t>T2 height 60 cm</w:t>
            </w:r>
          </w:p>
        </w:tc>
        <w:tc>
          <w:tcPr>
            <w:tcW w:type="dxa" w:w="3408"/>
          </w:tcPr>
          <w:p>
            <w:r>
              <w:t>Card C2 says 6 cm</w:t>
            </w:r>
          </w:p>
        </w:tc>
        <w:tc>
          <w:tcPr>
            <w:tcW w:type="dxa" w:w="3408"/>
          </w:tcPr>
          <w:p>
            <w:r>
              <w:t>Correct to 6; log C2</w:t>
            </w:r>
          </w:p>
        </w:tc>
      </w:tr>
      <w:tr>
        <w:tc>
          <w:tcPr>
            <w:tcW w:type="dxa" w:w="3408"/>
          </w:tcPr>
          <w:p>
            <w:r>
              <w:t>T3 travel blank</w:t>
            </w:r>
          </w:p>
        </w:tc>
        <w:tc>
          <w:tcPr>
            <w:tcW w:type="dxa" w:w="3408"/>
          </w:tcPr>
          <w:p>
            <w:r>
              <w:t>Card C3 also blank</w:t>
            </w:r>
          </w:p>
        </w:tc>
        <w:tc>
          <w:tcPr>
            <w:tcW w:type="dxa" w:w="3408"/>
          </w:tcPr>
          <w:p>
            <w:r>
              <w:t>Keep missing; flag</w:t>
            </w:r>
          </w:p>
        </w:tc>
      </w:tr>
      <w:tr>
        <w:tc>
          <w:tcPr>
            <w:tcW w:type="dxa" w:w="3408"/>
          </w:tcPr>
          <w:p>
            <w:r>
              <w:t>T4 travel 0 cm</w:t>
            </w:r>
          </w:p>
        </w:tc>
        <w:tc>
          <w:tcPr>
            <w:tcW w:type="dxa" w:w="3408"/>
          </w:tcPr>
          <w:p>
            <w:r>
              <w:t>Card C4 confirms zero</w:t>
            </w:r>
          </w:p>
        </w:tc>
        <w:tc>
          <w:tcPr>
            <w:tcW w:type="dxa" w:w="3408"/>
          </w:tcPr>
          <w:p>
            <w:r>
              <w:t>Keep measured zero</w:t>
            </w:r>
          </w:p>
        </w:tc>
      </w:tr>
    </w:tbl>
    <w:p>
      <w:r>
        <w:t>C2 supports correcting T2. C3 cannot supply a missing measurement. C4 shows that zero is a recorded observation, not a placeholder for missing data.</w:t>
      </w:r>
    </w:p>
    <w:p>
      <w:r>
        <w:t>The complete raw table is T1: height 4, travel 3, card C1; T2: height 60, travel 5, card C2; T3: height 5, travel blank, card C3; T4: height 6, travel 0, card C4. A second export row repeats T1 with height 4, travel 3 and C1. C1 confirms one trial T1, not two. C2 reads height 6 and travel 5. C3 has no travel measurement. C4 reads height 6 and travel 0.</w:t>
      </w:r>
    </w:p>
    <w:p>
      <w:r>
        <w:t>Work in a separate corrected copy. Record T2 height 60 to 6, evidence C2, transcription error, reviewer and review date. Link the repeated T1 export row to the first T1; count that single trial once and keep both raw rows. Do not remove two different trials merely because their measured numbers match.</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1,000 duplicates: high count, low variety; weak coverage"/>
            <wp:cNvGraphicFramePr>
              <a:graphicFrameLocks noChangeAspect="1"/>
            </wp:cNvGraphicFramePr>
            <a:graphic>
              <a:graphicData uri="http://schemas.openxmlformats.org/drawingml/2006/picture">
                <pic:pic>
                  <pic:nvPicPr>
                    <pic:cNvPr id="0" name="cd8e98c2eff42cb097964832c8e72cfa556b8ac634ad7e56bf8e065dcf52afd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120 varied photos: settings and types represented; stronger coverage"/>
            <wp:cNvGraphicFramePr>
              <a:graphicFrameLocks noChangeAspect="1"/>
            </wp:cNvGraphicFramePr>
            <a:graphic>
              <a:graphicData uri="http://schemas.openxmlformats.org/drawingml/2006/picture">
                <pic:pic>
                  <pic:nvPicPr>
                    <pic:cNvPr id="0" name="71e89f8c4d41c823e5dbce36c677f9650595e2f9f5f8b11daccc596df70f76c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rong labels: targets conflict with reality; correctness failure"/>
            <wp:cNvGraphicFramePr>
              <a:graphicFrameLocks noChangeAspect="1"/>
            </wp:cNvGraphicFramePr>
            <a:graphic>
              <a:graphicData uri="http://schemas.openxmlformats.org/drawingml/2006/picture">
                <pic:pic>
                  <pic:nvPicPr>
                    <pic:cNvPr id="0" name="40c6c3485b696ca5591c5353b5119ae0204ef65e12629b20d9e0b59d1542405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wner birthday: unrelated to animal type; irrelevant/private"/>
            <wp:cNvGraphicFramePr>
              <a:graphicFrameLocks noChangeAspect="1"/>
            </wp:cNvGraphicFramePr>
            <a:graphic>
              <a:graphicData uri="http://schemas.openxmlformats.org/drawingml/2006/picture">
                <pic:pic>
                  <pic:nvPicPr>
                    <pic:cNvPr id="0" name="17957e755bfdf2591fd817447aedc17c42bd39d4a373eb8bdc3bc1ca3b404aa9.png"/>
                    <pic:cNvPicPr/>
                  </pic:nvPicPr>
                  <pic:blipFill>
                    <a:blip r:embed="rId17"/>
                    <a:stretch>
                      <a:fillRect/>
                    </a:stretch>
                  </pic:blipFill>
                  <pic:spPr>
                    <a:xfrm>
                      <a:off x="0" y="0"/>
                      <a:ext cx="3574472" cy="2660072"/>
                    </a:xfrm>
                    <a:prstGeom prst="rect"/>
                  </pic:spPr>
                </pic:pic>
              </a:graphicData>
            </a:graphic>
          </wp:inline>
        </w:drawing>
      </w:r>
    </w:p>
    <w:p>
      <w:r>
        <w:t>CASE 1 — 1,000 duplicates  Clue: high count, low variety. Meaning: weak coverage.</w:t>
      </w:r>
    </w:p>
    <w:p>
      <w:r>
        <w:t>CASE 2 — 120 varied photos  Clue: settings and types represented. Meaning: stronger coverage.</w:t>
      </w:r>
    </w:p>
    <w:p>
      <w:r>
        <w:t>CASE 3 — Wrong labels  Clue: targets conflict with reality. Meaning: correctness failure.</w:t>
      </w:r>
    </w:p>
    <w:p>
      <w:r>
        <w:t>CASE 4 — Owner birthday  Clue: unrelated to animal type. Meaning: irrelevant/private.</w:t>
      </w:r>
    </w:p>
    <w:p>
      <w:r>
        <w:t>BOUNDARY  Large quantity cannot compensate for systematic absence or incorrect labels.</w:t>
      </w:r>
    </w:p>
    <w:p>
      <w:r>
        <w:t>Which two pictures are easiest to confuse? What evidence separates them?</w:t>
      </w:r>
    </w:p>
    <w:p>
      <w:pPr>
        <w:pStyle w:val="Heading3"/>
      </w:pPr>
      <w:r>
        <w:t>Change one thing in the pictured case</w:t>
      </w:r>
    </w:p>
    <w:p>
      <w:r>
        <w:t>Change: The source log gives B only as bare 200 with no unit.</w:t>
      </w:r>
    </w:p>
    <w:p>
      <w:r>
        <w:t>Prediction: B remains unresolved rather than becoming 20 cm.</w:t>
      </w:r>
    </w:p>
    <w:p>
      <w:r>
        <w:t>Reason: Without a confirmed unit, division by 10 would be an unsupported assumption.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overage: how well examples represent needed situations"/>
            <wp:cNvGraphicFramePr>
              <a:graphicFrameLocks noChangeAspect="1"/>
            </wp:cNvGraphicFramePr>
            <a:graphic>
              <a:graphicData uri="http://schemas.openxmlformats.org/drawingml/2006/picture">
                <pic:pic>
                  <pic:nvPicPr>
                    <pic:cNvPr id="0" name="5469e0022f59e90cfad08643ea5ada9dbb7c1c5e643a90deb39f7635aefeef4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rrectness: whether records and labels are accurate"/>
            <wp:cNvGraphicFramePr>
              <a:graphicFrameLocks noChangeAspect="1"/>
            </wp:cNvGraphicFramePr>
            <a:graphic>
              <a:graphicData uri="http://schemas.openxmlformats.org/drawingml/2006/picture">
                <pic:pic>
                  <pic:nvPicPr>
                    <pic:cNvPr id="0" name="cfdc2ce4bcdb89ab25f44440daca02dfbc1e749aacdea787957ebcd3ec079d2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levance: whether data supports the task"/>
            <wp:cNvGraphicFramePr>
              <a:graphicFrameLocks noChangeAspect="1"/>
            </wp:cNvGraphicFramePr>
            <a:graphic>
              <a:graphicData uri="http://schemas.openxmlformats.org/drawingml/2006/picture">
                <pic:pic>
                  <pic:nvPicPr>
                    <pic:cNvPr id="0" name="f0263b7b7e164c8a6cbd05641e2fb67924b688601c78655908b584aa9b01b0d3.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uplicate: repeated record adding little new coverage"/>
            <wp:cNvGraphicFramePr>
              <a:graphicFrameLocks noChangeAspect="1"/>
            </wp:cNvGraphicFramePr>
            <a:graphic>
              <a:graphicData uri="http://schemas.openxmlformats.org/drawingml/2006/picture">
                <pic:pic>
                  <pic:nvPicPr>
                    <pic:cNvPr id="0" name="a4ede7e29514500b879233f5a61227cc15e3bd4113fd7997d251fc121cb7702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coverage</w:t>
            </w:r>
          </w:p>
        </w:tc>
        <w:tc>
          <w:tcPr>
            <w:tcW w:type="dxa" w:w="3408"/>
          </w:tcPr>
          <w:p>
            <w:r>
              <w:t>how well examples represent needed situations</w:t>
            </w:r>
          </w:p>
        </w:tc>
        <w:tc>
          <w:tcPr>
            <w:tcW w:type="dxa" w:w="3408"/>
          </w:tcPr>
          <w:p>
            <w:r/>
          </w:p>
        </w:tc>
      </w:tr>
      <w:tr>
        <w:tc>
          <w:tcPr>
            <w:tcW w:type="dxa" w:w="3408"/>
          </w:tcPr>
          <w:p>
            <w:r>
              <w:t>correctness</w:t>
            </w:r>
          </w:p>
        </w:tc>
        <w:tc>
          <w:tcPr>
            <w:tcW w:type="dxa" w:w="3408"/>
          </w:tcPr>
          <w:p>
            <w:r>
              <w:t>whether records and labels are accurate</w:t>
            </w:r>
          </w:p>
        </w:tc>
        <w:tc>
          <w:tcPr>
            <w:tcW w:type="dxa" w:w="3408"/>
          </w:tcPr>
          <w:p>
            <w:r/>
          </w:p>
        </w:tc>
      </w:tr>
      <w:tr>
        <w:tc>
          <w:tcPr>
            <w:tcW w:type="dxa" w:w="3408"/>
          </w:tcPr>
          <w:p>
            <w:r>
              <w:t>relevance</w:t>
            </w:r>
          </w:p>
        </w:tc>
        <w:tc>
          <w:tcPr>
            <w:tcW w:type="dxa" w:w="3408"/>
          </w:tcPr>
          <w:p>
            <w:r>
              <w:t>whether data supports the task</w:t>
            </w:r>
          </w:p>
        </w:tc>
        <w:tc>
          <w:tcPr>
            <w:tcW w:type="dxa" w:w="3408"/>
          </w:tcPr>
          <w:p>
            <w:r/>
          </w:p>
        </w:tc>
      </w:tr>
      <w:tr>
        <w:tc>
          <w:tcPr>
            <w:tcW w:type="dxa" w:w="3408"/>
          </w:tcPr>
          <w:p>
            <w:r>
              <w:t>duplicate</w:t>
            </w:r>
          </w:p>
        </w:tc>
        <w:tc>
          <w:tcPr>
            <w:tcW w:type="dxa" w:w="3408"/>
          </w:tcPr>
          <w:p>
            <w:r>
              <w:t>repeated record adding little new coverage</w:t>
            </w:r>
          </w:p>
        </w:tc>
        <w:tc>
          <w:tcPr>
            <w:tcW w:type="dxa" w:w="3408"/>
          </w:tcPr>
          <w:p>
            <w:r/>
          </w:p>
        </w:tc>
      </w:tr>
    </w:tbl>
    <w:p>
      <w:pPr>
        <w:pStyle w:val="Heading3"/>
      </w:pPr>
      <w:r>
        <w:t>Misconception detective</w:t>
      </w:r>
    </w:p>
    <w:p>
      <w:r>
        <w:t>CLAIM TO REPAIR  The bigger dataset must be better.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One animal dataset has 1,000 blurry duplicate photos; another has 120 clear, correctly labeled photos across settings and animal types.</w:t>
      </w:r>
    </w:p>
    <w:p>
      <w:r>
        <w:t>STEP 1 — OBSERVE  collected examples and labels</w:t>
      </w:r>
    </w:p>
    <w:p>
      <w:r>
        <w:t>STEP 2 — TRACE  audit coverage, correctness, relevance, and duplication</w:t>
      </w:r>
    </w:p>
    <w:p>
      <w:r>
        <w:t>STEP 3 — CONCLUDE  accept, repair, or reject the dataset</w:t>
      </w:r>
    </w:p>
    <w:p>
      <w:r>
        <w:t>MODEL REASONING  Choose the set that covers intended conditions, uses checked labels, includes relevant fields, and avoids misleading duplication. State remaining gaps rather than declaring any dataset perfect.</w:t>
      </w:r>
    </w:p>
    <w:p>
      <w:r>
        <w:t>DO NOT OVERCLAIM  Large quantity cannot compensate for systematic absence or incorrect labels.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Problem</w:t>
            </w:r>
          </w:p>
        </w:tc>
        <w:tc>
          <w:tcPr>
            <w:tcW w:type="dxa" w:w="3408"/>
          </w:tcPr>
          <w:p>
            <w:r>
              <w:t>Permitted action here</w:t>
            </w:r>
          </w:p>
        </w:tc>
        <w:tc>
          <w:tcPr>
            <w:tcW w:type="dxa" w:w="3408"/>
          </w:tcPr>
          <w:p>
            <w:r>
              <w:t>Unsupported shortcut</w:t>
            </w:r>
          </w:p>
        </w:tc>
      </w:tr>
      <w:t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r>
        <w:t>A conversion changes units while preserving the quantity. If an authorised source records 50 mm, that is 5 cm because 10 mm equals 1 cm. Write the original unit, conversion and resulting unit in the log. A bare value 50 without a known unit does not justify assuming millimetres.</w:t>
      </w:r>
    </w:p>
    <w:p>
      <w:r>
        <w:t>A plausible value can still be a transcription error: 7 would pass the height rule even if its source said 6. Conversely, an unusual but supported value is not automatically wrong. Checking format and checking agreement with a source are different jobs. A source can itself contain an error, so retain its identity and any unresolved concern.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Good Data, Bad Data</w:t>
      </w:r>
    </w:p>
    <w:p>
      <w:r>
        <w:t>A fictional toy-car distance table needs cleaning before use.</w:t>
      </w:r>
    </w:p>
    <w:p>
      <w:pPr>
        <w:pStyle w:val="Heading3"/>
      </w:pPr>
      <w:r>
        <w:t>The facts we will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5" name="Picture 15"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r>
        <w:t>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What this example does not establish</w:t>
      </w:r>
    </w:p>
    <w:p>
      <w:r>
        <w:t>A clean table can still contain measurement or labelling errors that these checks do not detect.</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1,000 duplicates</w:t>
            </w:r>
          </w:p>
        </w:tc>
        <w:tc>
          <w:tcPr>
            <w:tcW w:type="dxa" w:w="3408"/>
          </w:tcPr>
          <w:p>
            <w:r>
              <w:t>high count, low variety</w:t>
            </w:r>
          </w:p>
        </w:tc>
        <w:tc>
          <w:tcPr>
            <w:tcW w:type="dxa" w:w="3408"/>
          </w:tcPr>
          <w:p>
            <w:r>
              <w:t>weak coverage</w:t>
            </w:r>
          </w:p>
        </w:tc>
      </w:tr>
      <w:tr>
        <w:tc>
          <w:tcPr>
            <w:tcW w:type="dxa" w:w="3408"/>
          </w:tcPr>
          <w:p>
            <w:r>
              <w:t>120 varied photos</w:t>
            </w:r>
          </w:p>
        </w:tc>
        <w:tc>
          <w:tcPr>
            <w:tcW w:type="dxa" w:w="3408"/>
          </w:tcPr>
          <w:p>
            <w:r>
              <w:t>settings and types represented</w:t>
            </w:r>
          </w:p>
        </w:tc>
        <w:tc>
          <w:tcPr>
            <w:tcW w:type="dxa" w:w="3408"/>
          </w:tcPr>
          <w:p>
            <w:r>
              <w:t>stronger coverage</w:t>
            </w:r>
          </w:p>
        </w:tc>
      </w:tr>
      <w:tr>
        <w:tc>
          <w:tcPr>
            <w:tcW w:type="dxa" w:w="3408"/>
          </w:tcPr>
          <w:p>
            <w:r>
              <w:t>Wrong labels</w:t>
            </w:r>
          </w:p>
        </w:tc>
        <w:tc>
          <w:tcPr>
            <w:tcW w:type="dxa" w:w="3408"/>
          </w:tcPr>
          <w:p>
            <w:r>
              <w:t>targets conflict with reality</w:t>
            </w:r>
          </w:p>
        </w:tc>
        <w:tc>
          <w:tcPr>
            <w:tcW w:type="dxa" w:w="3408"/>
          </w:tcPr>
          <w:p>
            <w:r>
              <w:t>correctness failure</w:t>
            </w:r>
          </w:p>
        </w:tc>
      </w:tr>
      <w:tr>
        <w:tc>
          <w:tcPr>
            <w:tcW w:type="dxa" w:w="3408"/>
          </w:tcPr>
          <w:p>
            <w:r>
              <w:t>Owner birthday</w:t>
            </w:r>
          </w:p>
        </w:tc>
        <w:tc>
          <w:tcPr>
            <w:tcW w:type="dxa" w:w="3408"/>
          </w:tcPr>
          <w:p>
            <w:r>
              <w:t>unrelated to animal type</w:t>
            </w:r>
          </w:p>
        </w:tc>
        <w:tc>
          <w:tcPr>
            <w:tcW w:type="dxa" w:w="3408"/>
          </w:tcPr>
          <w:p>
            <w:r>
              <w:t>irrelevant/private</w:t>
            </w:r>
          </w:p>
        </w:tc>
      </w:tr>
    </w:tbl>
    <w:p>
      <w:pPr>
        <w:pStyle w:val="Heading3"/>
      </w:pPr>
      <w:r>
        <w:t>Repair two tempting claims</w:t>
      </w:r>
    </w:p>
    <w:p>
      <w:r>
        <w:t>CLAIM A  The bigger dataset must be better.</w:t>
      </w:r>
    </w:p>
    <w:p>
      <w:r>
        <w:t>Repair:</w:t>
      </w:r>
    </w:p>
    <w:p>
      <w:r>
        <w:t>CLAIM B  Clean formatting means the data is correct.</w:t>
      </w:r>
    </w:p>
    <w:p>
      <w:r>
        <w:t>Repair:</w:t>
      </w:r>
    </w:p>
    <w:p>
      <w:r>
        <w:t>STRONG ANSWER FRAME  I claim ______ because the evidence shows ______. The process is ______. One limit is ______.</w:t>
      </w:r>
    </w:p>
    <w:p>
      <w:pPr>
        <w:pStyle w:val="Heading3"/>
      </w:pPr>
      <w:r>
        <w:t>A closer explanation</w:t>
      </w:r>
    </w:p>
    <w:p>
      <w:r>
        <w:t>After changing a value, run the schema checks again and compare the corrected copy with the raw copy and log. Recount distinct trials. Check that every correction has evidence and that zero, missing and conflict remain separate. A repair can introduce a new mistake if a value is changed in the wrong row.</w:t>
      </w:r>
    </w:p>
    <w:p>
      <w:r>
        <w:t>The corrected RampLog supports a statement about its three assessed trials. It does not establish how every ramp or future trial behaves. Better formatting cannot create missing observations or broaden what was sampled. Next week asks which cases a dataset actually covers.</w:t>
      </w:r>
    </w:p>
    <w:p>
      <w:pPr>
        <w:pStyle w:val="Heading3"/>
      </w:pPr>
      <w:r>
        <w:t>A table now has no blank cells because a designer guessed all missing measurements. Explain why this does not establish better evidence, and state what a trustworthy repair record should retain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Coverage, correctness, and relevance matter more than raw quantity.</w:t>
      </w:r>
    </w:p>
    <w:p>
      <w:r>
        <w:t>Use a fresh example to explain coverage.</w:t>
      </w:r>
    </w:p>
    <w:p>
      <w:r>
        <w:t>Trace a new input → process → output example.</w:t>
      </w:r>
    </w:p>
    <w:p>
      <w:r>
        <w:t>Find and repair the error in: Clean formatting means the data is correct.</w:t>
      </w:r>
    </w:p>
    <w:p>
      <w:r>
        <w:t>Invent one edge case and name the safe response.</w:t>
      </w:r>
    </w:p>
    <w:p>
      <w:r>
        <w:t>PARTNER CHECK  Point to the evidence. Do not accept an answer that only repeats the vocabulary word.</w:t>
      </w:r>
    </w:p>
    <w:p>
      <w:pPr>
        <w:pStyle w:val="Heading3"/>
      </w:pPr>
      <w:r>
        <w:t>A closer explanation</w:t>
      </w:r>
    </w:p>
    <w:p>
      <w:r>
        <w:t>After the documented correction and confirmed duplicate handling, RampLog contains four distinct trials: T1, T2, T3 and T4. Three have recorded travel. T1 has 3 cm, T2 has 5 cm and T4 has 0 cm. Only T2 meets at least 4 cm, so the result is 1 of 3 assessed trials, with 1 trial missing travel. Do not report T3 as a failure or hide it from the account.</w:t>
      </w:r>
    </w:p>
    <w:p>
      <w:pPr>
        <w:pStyle w:val="Heading3"/>
      </w:pPr>
      <w:r>
        <w:t>A reviewer fills T3 travel with 4 because it makes the results look more balanced. Identify the unsupported change, write an honest report using the recorded evidence, and name the source information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Describe which records entered the calculation and why. Keep unresolved records visible in a separate status list. A new measurement is a new observation with its own time and identity; it should not be passed off as the missing observation from an earlier trial.</w:t>
      </w:r>
    </w:p>
    <w:p>
      <w:pPr>
        <w:pStyle w:val="Heading3"/>
      </w:pPr>
      <w:r>
        <w:t>Practise with less help: Write a traceable correction</w:t>
      </w:r>
    </w:p>
    <w:p>
      <w:r>
        <w:t>Use workbook W2 for the connected example “Data quality and documented repair”.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quality and documented repair. Proposed explanation: “Every valid value is true”.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repairs are evidence-backed in the original case, and which row must remain unknown?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Dataset Quality Audit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Audit two mini datasets and choose the safer one.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6"/>
                    <a:stretch>
                      <a:fillRect/>
                    </a:stretch>
                  </pic:blipFill>
                  <pic:spPr>
                    <a:xfrm>
                      <a:off x="0" y="0"/>
                      <a:ext cx="5486400" cy="2743200"/>
                    </a:xfrm>
                    <a:prstGeom prst="rect"/>
                  </pic:spPr>
                </pic:pic>
              </a:graphicData>
            </a:graphic>
          </wp:inline>
        </w:drawing>
      </w:r>
    </w:p>
    <w:p>
      <w:r>
        <w:t>RECALL  Define coverage.</w:t>
      </w:r>
    </w:p>
    <w:p>
      <w:r>
        <w:t>EXPLAIN  Coverage, correctness, and relevance matter more than raw quantity.</w:t>
      </w:r>
    </w:p>
    <w:p>
      <w:r>
        <w:t>TRACE  Show the input, process, and output.</w:t>
      </w:r>
    </w:p>
    <w:p>
      <w:r>
        <w:t>DIAGNOSE  Repair: The bigger dataset must be better.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7"/>
                    <a:stretch>
                      <a:fillRect/>
                    </a:stretch>
                  </pic:blipFill>
                  <pic:spPr>
                    <a:xfrm>
                      <a:off x="0" y="0"/>
                      <a:ext cx="5486400" cy="2682240"/>
                    </a:xfrm>
                    <a:prstGeom prst="rect"/>
                  </pic:spPr>
                </pic:pic>
              </a:graphicData>
            </a:graphic>
          </wp:inline>
        </w:drawing>
      </w:r>
    </w:p>
    <w:p>
      <w:r>
        <w:t>THIS WEEK'S CHECKPOINT  Audit the sorter's example cards and add a reason for including each field and condition.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Large quantity cannot compensate for systematic absence or incorrect labels.</w:t>
      </w:r>
    </w:p>
    <w:p>
      <w:r>
        <w:t>My project decision:</w:t>
      </w:r>
    </w:p>
    <w:p>
      <w:pPr>
        <w:pStyle w:val="Heading3"/>
      </w:pPr>
      <w:r>
        <w:t>Evidence for your project</w:t>
      </w:r>
    </w:p>
    <w:p>
      <w:r>
        <w:t>Keep raw sorter inputs, validated records and an evidence-linked repair log as different artifacts.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29"/>
                    <a:stretch>
                      <a:fillRect/>
                    </a:stretch>
                  </pic:blipFill>
                  <pic:spPr>
                    <a:xfrm>
                      <a:off x="0" y="0"/>
                      <a:ext cx="5251938" cy="3200400"/>
                    </a:xfrm>
                    <a:prstGeom prst="rect"/>
                  </pic:spPr>
                </pic:pic>
              </a:graphicData>
            </a:graphic>
          </wp:inline>
        </w:drawing>
      </w:r>
    </w:p>
    <w:p>
      <w:r>
        <w:t>REQUIRED PROOF  Audit two mini datasets using coverage, correctness, relevance, and duplication; choose the safer one with evidence.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Choose the set that covers intended conditions, uses checked labels, includes relevant fields, and avoids misleading duplication. State remaining gaps rather than declaring any dataset perfect.</w:t>
      </w:r>
    </w:p>
    <w:p>
      <w:r>
        <w:t>My level:  □ Not yet  □ With one hint  □ Independently  □ I can teach it</w:t>
      </w:r>
    </w:p>
    <w:p>
      <w:r>
        <w:t>NEXT BRIDGE  Carry today's evidence habit into: Missing and Unbalanced Examples.</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Ordinary pencil lengths are recorded as 12 cm, 14 cm, blank and 130 cm.</w:t>
      </w:r>
    </w:p>
    <w:p>
      <w:pPr>
        <w:pStyle w:val="Heading3"/>
      </w:pPr>
      <w:r>
        <w:t>The question</w:t>
      </w:r>
    </w:p>
    <w:p>
      <w:r>
        <w:t>What needs checking? May 130 silently become 13?</w:t>
      </w:r>
    </w:p>
    <w:p>
      <w:pPr>
        <w:pStyle w:val="Heading3"/>
      </w:pPr>
      <w:r>
        <w:t>Worked explanation</w:t>
      </w:r>
    </w:p>
    <w:p>
      <w:r>
        <w:t>Investigate missing and unusually large values using the source and units. Do not invent a repair. Document verified corrections.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Check suspicious data before changing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cm</w:t>
            </w:r>
          </w:p>
        </w:tc>
        <w:tc>
          <w:tcPr>
            <w:tcW w:type="dxa" w:w="5112"/>
          </w:tcPr>
          <w:p>
            <w:r>
              <w:t>Plausible recorded length</w:t>
            </w:r>
          </w:p>
        </w:tc>
      </w:tr>
      <w:tr>
        <w:tc>
          <w:tcPr>
            <w:tcW w:type="dxa" w:w="5112"/>
          </w:tcPr>
          <w:p>
            <w:r>
              <w:t>14 cm</w:t>
            </w:r>
          </w:p>
        </w:tc>
        <w:tc>
          <w:tcPr>
            <w:tcW w:type="dxa" w:w="5112"/>
          </w:tcPr>
          <w:p>
            <w:r>
              <w:t>Plausible recorded length</w:t>
            </w:r>
          </w:p>
        </w:tc>
      </w:tr>
      <w:tr>
        <w:tc>
          <w:tcPr>
            <w:tcW w:type="dxa" w:w="5112"/>
          </w:tcPr>
          <w:p>
            <w:r>
              <w:t>Blank</w:t>
            </w:r>
          </w:p>
        </w:tc>
        <w:tc>
          <w:tcPr>
            <w:tcW w:type="dxa" w:w="5112"/>
          </w:tcPr>
          <w:p>
            <w:r>
              <w:t>Missing measurement</w:t>
            </w:r>
          </w:p>
        </w:tc>
      </w:tr>
      <w:tr>
        <w:tc>
          <w:tcPr>
            <w:tcW w:type="dxa" w:w="5112"/>
          </w:tcPr>
          <w:p>
            <w:r>
              <w:t>130 cm</w:t>
            </w:r>
          </w:p>
        </w:tc>
        <w:tc>
          <w:tcPr>
            <w:tcW w:type="dxa" w:w="5112"/>
          </w:tcPr>
          <w:p>
            <w:r>
              <w:t>Check source and units</w:t>
            </w:r>
          </w:p>
        </w:tc>
      </w:tr>
    </w:tbl>
    <w:p>
      <w:r>
        <w:t>Ordinary pencil lengths are recorded as 12 cm, 14 cm, blank and 130 cm.</w:t>
      </w:r>
    </w:p>
    <w:p>
      <w:r>
        <w:t>What needs checking? May 130 silently become 13?</w:t>
      </w:r>
    </w:p>
    <w:p>
      <w:r>
        <w:t>Investigate missing and unusually large values using the source and units. Do not invent a repair. Document verified corrections.</w:t>
      </w:r>
    </w:p>
    <w:p>
      <w:pPr>
        <w:pStyle w:val="Heading1"/>
      </w:pPr>
      <w:r>
        <w:t>14. Try a new case independently</w:t>
      </w:r>
    </w:p>
    <w:p>
      <w:pPr>
        <w:pStyle w:val="Heading3"/>
      </w:pPr>
      <w:r>
        <w:t>Independent case: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 table labels a cat photo dog and lists the same photo three times. Identify both data problems and one sensible repair for each.</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the sorter's example cards and add a reason for including each field and condition.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lists leaf lengths 8 cm, 90 mm, blank and 700 cm. Propose a documented cleaning action for each row. Which values can you safely change immediately?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