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ai-3/3</w:t>
      </w:r>
    </w:p>
    <w:p>
      <w:pPr>
        <w:pStyle w:val="Title"/>
      </w:pPr>
      <w:r>
        <w:t>Tokens and Context</w:t>
      </w:r>
    </w:p>
    <w:p>
      <w:r>
        <w:t>Project: Verified Study Buddy</w:t>
      </w:r>
    </w:p>
    <w:p>
      <w:pPr>
        <w:pStyle w:val="Heading1"/>
      </w:pPr>
      <w:r>
        <w:t>Before you start</w:t>
      </w:r>
    </w:p>
    <w:p>
      <w:r>
        <w:t>AI-2 Week 25: tokenizer units need not equal words.</w:t>
      </w:r>
    </w:p>
    <w:p>
      <w:pPr>
        <w:pStyle w:val="Heading1"/>
      </w:pPr>
      <w:r>
        <w:t>01. Your mission</w:t>
      </w:r>
    </w:p>
    <w:p>
      <w:pPr>
        <w:pStyle w:val="Heading3"/>
      </w:pPr>
      <w:r>
        <w:t>Your learning target</w:t>
      </w:r>
    </w:p>
    <w:p>
      <w:r>
        <w:t>I can account for fixed text, evidence and reserved output under a toy budget.</w:t>
      </w:r>
    </w:p>
    <w:p>
      <w:r>
        <w:t>I can select complete evidence for a stated question.</w:t>
      </w:r>
    </w:p>
    <w:p>
      <w:r>
        <w:t>I can handle insufficient or conflicting evidence explicitly.</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A Distribution of Possibilities. Give an example and a mistake that the idea helps you avoid.</w:t>
      </w:r>
    </w:p>
    <w:p>
      <w:r>
        <w:t>After trying, check the relevant lesson or ask your teacher. Change the part of your explanation that the evidence shows was wrong.</w:t>
      </w:r>
    </w:p>
    <w:p>
      <w:r>
        <w:t>Week 3: Tokens and Context</w:t>
      </w:r>
    </w:p>
    <w:p>
      <w:r>
        <w:t>Models operate on tokens within a limited context window.</w:t>
      </w:r>
    </w:p>
    <w:p>
      <w:r>
        <w:drawing>
          <wp:inline xmlns:a="http://schemas.openxmlformats.org/drawingml/2006/main" xmlns:pic="http://schemas.openxmlformats.org/drawingml/2006/picture">
            <wp:extent cx="2942705" cy="2942705"/>
            <wp:docPr id="1" name="Picture 1" descr="Week 3 illustration: Tokens and Context"/>
            <wp:cNvGraphicFramePr>
              <a:graphicFrameLocks noChangeAspect="1"/>
            </wp:cNvGraphicFramePr>
            <a:graphic>
              <a:graphicData uri="http://schemas.openxmlformats.org/drawingml/2006/picture">
                <pic:pic>
                  <pic:nvPicPr>
                    <pic:cNvPr id="0" name="825b09e9c37359e8fe931a84a9ba34a373d9cbd4ea35c4d418591195fa3a00aa.png"/>
                    <pic:cNvPicPr/>
                  </pic:nvPicPr>
                  <pic:blipFill>
                    <a:blip r:embed="rId9"/>
                    <a:stretch>
                      <a:fillRect/>
                    </a:stretch>
                  </pic:blipFill>
                  <pic:spPr>
                    <a:xfrm>
                      <a:off x="0" y="0"/>
                      <a:ext cx="2942705" cy="2942705"/>
                    </a:xfrm>
                    <a:prstGeom prst="rect"/>
                  </pic:spPr>
                </pic:pic>
              </a:graphicData>
            </a:graphic>
          </wp:inline>
        </w:drawing>
      </w:r>
    </w:p>
    <w:p>
      <w:r>
        <w:t>CREATOR MISSION</w:t>
      </w:r>
    </w:p>
    <w:p>
      <w:r>
        <w:t>Tokenize text, remove context, and predict failure changes.</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Does lower next-token loss guarantee supported factual answers?</w:t>
      </w:r>
    </w:p>
    <w:p>
      <w:pPr>
        <w:pStyle w:val="Heading3"/>
      </w:pPr>
      <w:r>
        <w:t>Readiness for Attention as weighted information selection</w:t>
      </w:r>
    </w:p>
    <w:p>
      <w:r>
        <w:t>Why can equal row sums conceal different sequences?</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budget context and preserve evidence needed to interpret a requested fact.</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Tokens and Context"/>
            <wp:cNvGraphicFramePr>
              <a:graphicFrameLocks noChangeAspect="1"/>
            </wp:cNvGraphicFramePr>
            <a:graphic>
              <a:graphicData uri="http://schemas.openxmlformats.org/drawingml/2006/picture">
                <pic:pic>
                  <pic:nvPicPr>
                    <pic:cNvPr id="0" name="825b09e9c37359e8fe931a84a9ba34a373d9cbd4ea35c4d418591195fa3a00aa.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tokens and context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For this lesson only, a fictional system allows 100 total token units for input plus reserved output. Its fixed instructions use 20 units, question 10 and output reserve 20. That leaves 50 units for evidence. These are supplied counts, not word counts or a claim about any deployed model. Other systems can use different input/output accounting, so read their exact contract.</w:t>
      </w:r>
    </w:p>
    <w:p>
      <w:r>
        <w:t>The question is: “Which room is approved for the robotics meeting, and what is its capacity?” Evidence A, a current approval notice, costs 30 units and names room B. Evidence B, the current room register, costs 20 and gives room B capacity 12. Evidence C, an old approval notice, costs 25 and names room A.</w:t>
      </w:r>
    </w:p>
    <w:p>
      <w:pPr>
        <w:pStyle w:val="Heading3"/>
      </w:pPr>
      <w:r>
        <w:t>Apply the connected idea: Attention as weighted information selection</w:t>
      </w:r>
    </w:p>
    <w:p>
      <w:r>
        <w:t>Attention computes a weighted combination of value vectors, with weights derived from query-key compatibility. Queries, keys and values are distinct roles even when they come from the same sequence. A weight is a numerical contribution in this computation, not proof of the source’s truth or permission. This week supplies weights directly; Week 7 calculates them from scores.</w:t>
      </w:r>
    </w:p>
    <w:p>
      <w:r>
        <w:t>Use three values V1=[2,0], V2=[0,4], V3=[4,2] with weights 0.5,0.25,0.25. Values have equal width and weights are nonnegative with sum 1. Compute each coordinate separately. No token is literally copied by this combination.</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Tokens and Context"/>
            <wp:cNvGraphicFramePr>
              <a:graphicFrameLocks noChangeAspect="1"/>
            </wp:cNvGraphicFramePr>
            <a:graphic>
              <a:graphicData uri="http://schemas.openxmlformats.org/drawingml/2006/picture">
                <pic:pic>
                  <pic:nvPicPr>
                    <pic:cNvPr id="0" name="28463e9eb8fc246974cd599e65648bccfe3ae3edd66736cad0bd65617dbbbcbb.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Tokens and Context"/>
            <wp:cNvGraphicFramePr>
              <a:graphicFrameLocks noChangeAspect="1"/>
            </wp:cNvGraphicFramePr>
            <a:graphic>
              <a:graphicData uri="http://schemas.openxmlformats.org/drawingml/2006/picture">
                <pic:pic>
                  <pic:nvPicPr>
                    <pic:cNvPr id="0" name="f6f67b74ef07dc2458844970c10c7d2185675d9864c9e7e9563ec9ab840f68ff.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Tokens and Context"/>
            <wp:cNvGraphicFramePr>
              <a:graphicFrameLocks noChangeAspect="1"/>
            </wp:cNvGraphicFramePr>
            <a:graphic>
              <a:graphicData uri="http://schemas.openxmlformats.org/drawingml/2006/picture">
                <pic:pic>
                  <pic:nvPicPr>
                    <pic:cNvPr id="0" name="983c88ac4ba5a89eab73b2d47b643fd6a4bd62aae04c8a09af011a70a754453c.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Evidence</w:t>
            </w:r>
          </w:p>
        </w:tc>
        <w:tc>
          <w:tcPr>
            <w:tcW w:type="dxa" w:w="3408"/>
          </w:tcPr>
          <w:p>
            <w:r>
              <w:t>Cost</w:t>
            </w:r>
          </w:p>
        </w:tc>
        <w:tc>
          <w:tcPr>
            <w:tcW w:type="dxa" w:w="3408"/>
          </w:tcPr>
          <w:p>
            <w:r>
              <w:t>What it supports</w:t>
            </w:r>
          </w:p>
        </w:tc>
      </w:tr>
      <w:tr>
        <w:tc>
          <w:tcPr>
            <w:tcW w:type="dxa" w:w="3408"/>
          </w:tcPr>
          <w:p>
            <w:r>
              <w:t>A: current approval</w:t>
            </w:r>
          </w:p>
        </w:tc>
        <w:tc>
          <w:tcPr>
            <w:tcW w:type="dxa" w:w="3408"/>
          </w:tcPr>
          <w:p>
            <w:r>
              <w:t>30</w:t>
            </w:r>
          </w:p>
        </w:tc>
        <w:tc>
          <w:tcPr>
            <w:tcW w:type="dxa" w:w="3408"/>
          </w:tcPr>
          <w:p>
            <w:r>
              <w:t>Approved room B</w:t>
            </w:r>
          </w:p>
        </w:tc>
      </w:tr>
      <w:tr>
        <w:tc>
          <w:tcPr>
            <w:tcW w:type="dxa" w:w="3408"/>
          </w:tcPr>
          <w:p>
            <w:r>
              <w:t>B: current register</w:t>
            </w:r>
          </w:p>
        </w:tc>
        <w:tc>
          <w:tcPr>
            <w:tcW w:type="dxa" w:w="3408"/>
          </w:tcPr>
          <w:p>
            <w:r>
              <w:t>20</w:t>
            </w:r>
          </w:p>
        </w:tc>
        <w:tc>
          <w:tcPr>
            <w:tcW w:type="dxa" w:w="3408"/>
          </w:tcPr>
          <w:p>
            <w:r>
              <w:t>Room B capacity 12</w:t>
            </w:r>
          </w:p>
        </w:tc>
      </w:tr>
      <w:tr>
        <w:tc>
          <w:tcPr>
            <w:tcW w:type="dxa" w:w="3408"/>
          </w:tcPr>
          <w:p>
            <w:r>
              <w:t>C: superseded approval</w:t>
            </w:r>
          </w:p>
        </w:tc>
        <w:tc>
          <w:tcPr>
            <w:tcW w:type="dxa" w:w="3408"/>
          </w:tcPr>
          <w:p>
            <w:r>
              <w:t>25</w:t>
            </w:r>
          </w:p>
        </w:tc>
        <w:tc>
          <w:tcPr>
            <w:tcW w:type="dxa" w:w="3408"/>
          </w:tcPr>
          <w:p>
            <w:r>
              <w:t>Old room A approval</w:t>
            </w:r>
          </w:p>
        </w:tc>
      </w:tr>
    </w:tbl>
    <w:p>
      <w:r>
        <w:t>A+B costs 50 and fits exactly. Together they support both requested claims. A+C costs 55 and exceeds the evidence budget, while C+B fits at 45 but supplies an outdated room decision. A cheap set is not necessarily an adequate set. Preserve document IDs, versions and dates alongside content.</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100 total units</w:t>
            </w:r>
          </w:p>
        </w:tc>
        <w:tc>
          <w:tcPr>
            <w:tcW w:type="dxa" w:w="3408"/>
          </w:tcPr>
          <w:p>
            <w:r>
              <w:t>Subtract 20+10+20</w:t>
            </w:r>
          </w:p>
        </w:tc>
        <w:tc>
          <w:tcPr>
            <w:tcW w:type="dxa" w:w="3408"/>
          </w:tcPr>
          <w:p>
            <w:r>
              <w:t>50 evidence units</w:t>
            </w:r>
          </w:p>
        </w:tc>
      </w:tr>
      <w:tr>
        <w:tc>
          <w:tcPr>
            <w:tcW w:type="dxa" w:w="3408"/>
          </w:tcPr>
          <w:p>
            <w:r>
              <w:t>A 30 plus B 20</w:t>
            </w:r>
          </w:p>
        </w:tc>
        <w:tc>
          <w:tcPr>
            <w:tcW w:type="dxa" w:w="3408"/>
          </w:tcPr>
          <w:p>
            <w:r>
              <w:t>Exactly 50 evidence units</w:t>
            </w:r>
          </w:p>
        </w:tc>
        <w:tc>
          <w:tcPr>
            <w:tcW w:type="dxa" w:w="3408"/>
          </w:tcPr>
          <w:p>
            <w:r>
              <w:t>Supports both requested claims</w:t>
            </w:r>
          </w:p>
        </w:tc>
      </w:tr>
      <w:tr>
        <w:tc>
          <w:tcPr>
            <w:tcW w:type="dxa" w:w="3408"/>
          </w:tcPr>
          <w:p>
            <w:r>
              <w:t>Insufficient evidence</w:t>
            </w:r>
          </w:p>
        </w:tc>
        <w:tc>
          <w:tcPr>
            <w:tcW w:type="dxa" w:w="3408"/>
          </w:tcPr>
          <w:p>
            <w:r>
              <w:t>Ask or abstain</w:t>
            </w:r>
          </w:p>
        </w:tc>
        <w:tc>
          <w:tcPr>
            <w:tcW w:type="dxa" w:w="3408"/>
          </w:tcPr>
          <w:p>
            <w:r>
              <w:t>Do not invent the missing fact</w:t>
            </w:r>
          </w:p>
        </w:tc>
      </w:tr>
    </w:tbl>
    <w:p>
      <w:r>
        <w:t>Arithmetic fit and evidential adequacy are separate checks.</w:t>
      </w:r>
    </w:p>
    <w:p>
      <w:pPr>
        <w:pStyle w:val="Heading3"/>
      </w:pPr>
      <w:r>
        <w:t>Apply the connected idea: Attention as weighted information selection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Value</w:t>
            </w:r>
          </w:p>
        </w:tc>
        <w:tc>
          <w:tcPr>
            <w:tcW w:type="dxa" w:w="3408"/>
          </w:tcPr>
          <w:p>
            <w:r>
              <w:t>Weight</w:t>
            </w:r>
          </w:p>
        </w:tc>
        <w:tc>
          <w:tcPr>
            <w:tcW w:type="dxa" w:w="3408"/>
          </w:tcPr>
          <w:p>
            <w:r>
              <w:t>Weighted vector</w:t>
            </w:r>
          </w:p>
        </w:tc>
      </w:tr>
      <w:tr>
        <w:tc>
          <w:tcPr>
            <w:tcW w:type="dxa" w:w="3408"/>
          </w:tcPr>
          <w:p>
            <w:r>
              <w:t>[2,0]</w:t>
            </w:r>
          </w:p>
        </w:tc>
        <w:tc>
          <w:tcPr>
            <w:tcW w:type="dxa" w:w="3408"/>
          </w:tcPr>
          <w:p>
            <w:r>
              <w:t>0.5</w:t>
            </w:r>
          </w:p>
        </w:tc>
        <w:tc>
          <w:tcPr>
            <w:tcW w:type="dxa" w:w="3408"/>
          </w:tcPr>
          <w:p>
            <w:r>
              <w:t>[1,0]</w:t>
            </w:r>
          </w:p>
        </w:tc>
      </w:tr>
      <w:tr>
        <w:tc>
          <w:tcPr>
            <w:tcW w:type="dxa" w:w="3408"/>
          </w:tcPr>
          <w:p>
            <w:r>
              <w:t>[0,4]</w:t>
            </w:r>
          </w:p>
        </w:tc>
        <w:tc>
          <w:tcPr>
            <w:tcW w:type="dxa" w:w="3408"/>
          </w:tcPr>
          <w:p>
            <w:r>
              <w:t>0.25</w:t>
            </w:r>
          </w:p>
        </w:tc>
        <w:tc>
          <w:tcPr>
            <w:tcW w:type="dxa" w:w="3408"/>
          </w:tcPr>
          <w:p>
            <w:r>
              <w:t>[0,1]</w:t>
            </w:r>
          </w:p>
        </w:tc>
      </w:tr>
      <w:tr>
        <w:tc>
          <w:tcPr>
            <w:tcW w:type="dxa" w:w="3408"/>
          </w:tcPr>
          <w:p>
            <w:r>
              <w:t>[4,2]</w:t>
            </w:r>
          </w:p>
        </w:tc>
        <w:tc>
          <w:tcPr>
            <w:tcW w:type="dxa" w:w="3408"/>
          </w:tcPr>
          <w:p>
            <w:r>
              <w:t>0.25</w:t>
            </w:r>
          </w:p>
        </w:tc>
        <w:tc>
          <w:tcPr>
            <w:tcW w:type="dxa" w:w="3408"/>
          </w:tcPr>
          <w:p>
            <w:r>
              <w:t>[1,0.5]</w:t>
            </w:r>
          </w:p>
        </w:tc>
      </w:tr>
    </w:tbl>
    <w:p>
      <w:r>
        <w:t>Adding the weighted vectors gives [2,1.5]. The same weights applied to different values can give a different result; the same values with different weights can also change it. For example weights 0,1,0 yield V2=[0,4]. The result is a representation to be used by later operations, not automatically a generated word.</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Values with equal width</w:t>
            </w:r>
          </w:p>
        </w:tc>
        <w:tc>
          <w:tcPr>
            <w:tcW w:type="dxa" w:w="3408"/>
          </w:tcPr>
          <w:p>
            <w:r>
              <w:t>Multiply by .5, .25, .25</w:t>
            </w:r>
          </w:p>
        </w:tc>
        <w:tc>
          <w:tcPr>
            <w:tcW w:type="dxa" w:w="3408"/>
          </w:tcPr>
          <w:p>
            <w:r>
              <w:t>Contributions [1,0], [0,1], [1,.5]</w:t>
            </w:r>
          </w:p>
        </w:tc>
      </w:tr>
      <w:tr>
        <w:tc>
          <w:tcPr>
            <w:tcW w:type="dxa" w:w="3408"/>
          </w:tcPr>
          <w:p>
            <w:r>
              <w:t>Weighted contributions</w:t>
            </w:r>
          </w:p>
        </w:tc>
        <w:tc>
          <w:tcPr>
            <w:tcW w:type="dxa" w:w="3408"/>
          </w:tcPr>
          <w:p>
            <w:r>
              <w:t>Add corresponding coordinates</w:t>
            </w:r>
          </w:p>
        </w:tc>
        <w:tc>
          <w:tcPr>
            <w:tcW w:type="dxa" w:w="3408"/>
          </w:tcPr>
          <w:p>
            <w:r>
              <w:t>Output [2,1.5]</w:t>
            </w:r>
          </w:p>
        </w:tc>
      </w:tr>
      <w:tr>
        <w:tc>
          <w:tcPr>
            <w:tcW w:type="dxa" w:w="3408"/>
          </w:tcPr>
          <w:p>
            <w:r>
              <w:t>Mask excludes V3</w:t>
            </w:r>
          </w:p>
        </w:tc>
        <w:tc>
          <w:tcPr>
            <w:tcW w:type="dxa" w:w="3408"/>
          </w:tcPr>
          <w:p>
            <w:r>
              <w:t>Renormalise V1 and V2</w:t>
            </w:r>
          </w:p>
        </w:tc>
        <w:tc>
          <w:tcPr>
            <w:tcW w:type="dxa" w:w="3408"/>
          </w:tcPr>
          <w:p>
            <w:r>
              <w:t>Output [4/3,4/3]</w:t>
            </w:r>
          </w:p>
        </w:tc>
      </w:tr>
    </w:tbl>
    <w:p>
      <w:r>
        <w:t>The mask changes the eligible positions and therefore the probability mass assigned to the remaining values.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Increase B’s cost to 30 with all other costs fixed.</w:t>
      </w:r>
    </w:p>
    <w:p>
      <w:r>
        <w:t>Prediction: A+B costs 48 and no longer fits the 45-token evidence capacity.</w:t>
      </w:r>
    </w:p>
    <w:p>
      <w:r>
        <w:t>Reason: Do not silently omit the exception; use an approved source-preserving summary, another retrieval step or an honest incomplete-evidence response.</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token"/>
            <wp:cNvGraphicFramePr>
              <a:graphicFrameLocks noChangeAspect="1"/>
            </wp:cNvGraphicFramePr>
            <a:graphic>
              <a:graphicData uri="http://schemas.openxmlformats.org/drawingml/2006/picture">
                <pic:pic>
                  <pic:nvPicPr>
                    <pic:cNvPr id="0" name="559b6d2880c9edd76e58cbe05a40a7959ff372998d384cc2b97a21f84cdf312c.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tokenization"/>
            <wp:cNvGraphicFramePr>
              <a:graphicFrameLocks noChangeAspect="1"/>
            </wp:cNvGraphicFramePr>
            <a:graphic>
              <a:graphicData uri="http://schemas.openxmlformats.org/drawingml/2006/picture">
                <pic:pic>
                  <pic:nvPicPr>
                    <pic:cNvPr id="0" name="f5ea2e7a1897bde4cb140d7a9499d4b2c69474c3501987326ca7f31dcf4d4988.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context window"/>
            <wp:cNvGraphicFramePr>
              <a:graphicFrameLocks noChangeAspect="1"/>
            </wp:cNvGraphicFramePr>
            <a:graphic>
              <a:graphicData uri="http://schemas.openxmlformats.org/drawingml/2006/picture">
                <pic:pic>
                  <pic:nvPicPr>
                    <pic:cNvPr id="0" name="ff87570a04d8cb49ee77b33f34485c04e6e6fe061428ff17b6ca97f782545276.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truncation"/>
            <wp:cNvGraphicFramePr>
              <a:graphicFrameLocks noChangeAspect="1"/>
            </wp:cNvGraphicFramePr>
            <a:graphic>
              <a:graphicData uri="http://schemas.openxmlformats.org/drawingml/2006/picture">
                <pic:pic>
                  <pic:nvPicPr>
                    <pic:cNvPr id="0" name="3d0bf91985da19d885153eafe85782f1c85954190e8582a4524ef50b9941e489.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token</w:t>
            </w:r>
          </w:p>
        </w:tc>
        <w:tc>
          <w:tcPr>
            <w:tcW w:type="dxa" w:w="3408"/>
          </w:tcPr>
          <w:p>
            <w:r>
              <w:t>A unit of encoded text processed by a language model, which may be a word, part of a word or punctuation.</w:t>
            </w:r>
          </w:p>
        </w:tc>
        <w:tc>
          <w:tcPr>
            <w:tcW w:type="dxa" w:w="3408"/>
          </w:tcPr>
          <w:p>
            <w:r/>
          </w:p>
        </w:tc>
      </w:tr>
      <w:tr>
        <w:tc>
          <w:tcPr>
            <w:tcW w:type="dxa" w:w="3408"/>
          </w:tcPr>
          <w:p>
            <w:r>
              <w:t>tokenization</w:t>
            </w:r>
          </w:p>
        </w:tc>
        <w:tc>
          <w:tcPr>
            <w:tcW w:type="dxa" w:w="3408"/>
          </w:tcPr>
          <w:p>
            <w:r>
              <w:t>Converting text into the token units of a particular tokenizer.</w:t>
            </w:r>
          </w:p>
        </w:tc>
        <w:tc>
          <w:tcPr>
            <w:tcW w:type="dxa" w:w="3408"/>
          </w:tcPr>
          <w:p>
            <w:r/>
          </w:p>
        </w:tc>
      </w:tr>
      <w:tr>
        <w:tc>
          <w:tcPr>
            <w:tcW w:type="dxa" w:w="3408"/>
          </w:tcPr>
          <w:p>
            <w:r>
              <w:t>context window</w:t>
            </w:r>
          </w:p>
        </w:tc>
        <w:tc>
          <w:tcPr>
            <w:tcW w:type="dxa" w:w="3408"/>
          </w:tcPr>
          <w:p>
            <w:r>
              <w:t>The bounded amount of token information a model can process together in a particular use.</w:t>
            </w:r>
          </w:p>
        </w:tc>
        <w:tc>
          <w:tcPr>
            <w:tcW w:type="dxa" w:w="3408"/>
          </w:tcPr>
          <w:p>
            <w:r/>
          </w:p>
        </w:tc>
      </w:tr>
      <w:tr>
        <w:tc>
          <w:tcPr>
            <w:tcW w:type="dxa" w:w="3408"/>
          </w:tcPr>
          <w:p>
            <w:r>
              <w:t>truncation</w:t>
            </w:r>
          </w:p>
        </w:tc>
        <w:tc>
          <w:tcPr>
            <w:tcW w:type="dxa" w:w="3408"/>
          </w:tcPr>
          <w:p>
            <w:r>
              <w:t>Removing part of information, often because it exceeds a length or context limit.</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Context budget</w:t>
            </w:r>
          </w:p>
        </w:tc>
        <w:tc>
          <w:tcPr>
            <w:tcW w:type="dxa" w:w="5112"/>
          </w:tcPr>
          <w:p>
            <w:r>
              <w:t>The permitted input and output allocation under a stated model or classroom contract</w:t>
            </w:r>
          </w:p>
        </w:tc>
      </w:tr>
      <w:tr>
        <w:tc>
          <w:tcPr>
            <w:tcW w:type="dxa" w:w="5112"/>
          </w:tcPr>
          <w:p>
            <w:r>
              <w:t>Evidence selection</w:t>
            </w:r>
          </w:p>
        </w:tc>
        <w:tc>
          <w:tcPr>
            <w:tcW w:type="dxa" w:w="5112"/>
          </w:tcPr>
          <w:p>
            <w:r>
              <w:t>Choosing source material relevant to the requested claim</w:t>
            </w:r>
          </w:p>
        </w:tc>
      </w:tr>
      <w:tr>
        <w:tc>
          <w:tcPr>
            <w:tcW w:type="dxa" w:w="5112"/>
          </w:tcPr>
          <w:p>
            <w:r>
              <w:t>Reserved output</w:t>
            </w:r>
          </w:p>
        </w:tc>
        <w:tc>
          <w:tcPr>
            <w:tcW w:type="dxa" w:w="5112"/>
          </w:tcPr>
          <w:p>
            <w:r>
              <w:t>Capacity deliberately kept available for the response</w:t>
            </w:r>
          </w:p>
        </w:tc>
      </w:tr>
    </w:tbl>
    <w:p>
      <w:pPr>
        <w:pStyle w:val="Heading3"/>
      </w:pPr>
      <w:r>
        <w:t>Terms for Attention as weighted information selection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Query</w:t>
            </w:r>
          </w:p>
        </w:tc>
        <w:tc>
          <w:tcPr>
            <w:tcW w:type="dxa" w:w="5112"/>
          </w:tcPr>
          <w:p>
            <w:r>
              <w:t>A vector used to compare available keys for the current calculation</w:t>
            </w:r>
          </w:p>
        </w:tc>
      </w:tr>
      <w:tr>
        <w:tc>
          <w:tcPr>
            <w:tcW w:type="dxa" w:w="5112"/>
          </w:tcPr>
          <w:p>
            <w:r>
              <w:t>Key</w:t>
            </w:r>
          </w:p>
        </w:tc>
        <w:tc>
          <w:tcPr>
            <w:tcW w:type="dxa" w:w="5112"/>
          </w:tcPr>
          <w:p>
            <w:r>
              <w:t>A vector used to determine compatibility with a query</w:t>
            </w:r>
          </w:p>
        </w:tc>
      </w:tr>
      <w:tr>
        <w:tc>
          <w:tcPr>
            <w:tcW w:type="dxa" w:w="5112"/>
          </w:tcPr>
          <w:p>
            <w:r>
              <w:t>Value</w:t>
            </w:r>
          </w:p>
        </w:tc>
        <w:tc>
          <w:tcPr>
            <w:tcW w:type="dxa" w:w="5112"/>
          </w:tcPr>
          <w:p>
            <w:r>
              <w:t>A vector combined using the resulting attention weights</w:t>
            </w:r>
          </w:p>
        </w:tc>
      </w:tr>
      <w:tr>
        <w:tc>
          <w:tcPr>
            <w:tcW w:type="dxa" w:w="5112"/>
          </w:tcPr>
          <w:p>
            <w:r>
              <w:t>Mask</w:t>
            </w:r>
          </w:p>
        </w:tc>
        <w:tc>
          <w:tcPr>
            <w:tcW w:type="dxa" w:w="5112"/>
          </w:tcPr>
          <w:p>
            <w:r>
              <w:t>A rule excluding specified positions from a calculation</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Tokens and Context"/>
            <wp:cNvGraphicFramePr>
              <a:graphicFrameLocks noChangeAspect="1"/>
            </wp:cNvGraphicFramePr>
            <a:graphic>
              <a:graphicData uri="http://schemas.openxmlformats.org/drawingml/2006/picture">
                <pic:pic>
                  <pic:nvPicPr>
                    <pic:cNvPr id="0" name="ab23388f1ee6980a2fd9165a5e488ab4a192d0476ecc8830c7233d20486e7ec4.png"/>
                    <pic:cNvPicPr/>
                  </pic:nvPicPr>
                  <pic:blipFill>
                    <a:blip r:embed="rId21"/>
                    <a:stretch>
                      <a:fillRect/>
                    </a:stretch>
                  </pic:blipFill>
                  <pic:spPr>
                    <a:xfrm>
                      <a:off x="0" y="0"/>
                      <a:ext cx="5486400" cy="2377440"/>
                    </a:xfrm>
                    <a:prstGeom prst="rect"/>
                  </pic:spPr>
                </pic:pic>
              </a:graphicData>
            </a:graphic>
          </wp:inline>
        </w:drawing>
      </w:r>
    </w:p>
    <w:p>
      <w:r>
        <w:t>1. A sentence becomes token pieces, not a stored human thought.</w:t>
      </w:r>
    </w:p>
    <w:p>
      <w:r>
        <w:t>2. The model uses visible tokens to predict the next token.</w:t>
      </w:r>
    </w:p>
    <w:p>
      <w:r>
        <w:t>3. Remove the definition from context: the same question becomes ambiguous.</w:t>
      </w:r>
    </w:p>
    <w:p>
      <w:r>
        <w:t>4. More context helps only when it is relevant, accurate, and within the window.</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A source may contain an exception after a general statement. Cutting off the last paragraph can reverse its practical meaning. Selection should preserve the passages needed to interpret the requested fact, including scope, version and exceptions. If complete relevant evidence cannot fit, retrieve a smaller authoritative passage or request clarification rather than silently remove a qualifying condition.</w:t>
      </w:r>
    </w:p>
    <w:p>
      <w:r>
        <w:t>Including a document in context does not prove the generated answer uses it correctly. After generation, check each claim against its source. A source’s instruction-like content also does not acquire authority just because it fits in the evidence budget.</w:t>
      </w:r>
    </w:p>
    <w:p>
      <w:pPr>
        <w:pStyle w:val="Heading3"/>
      </w:pPr>
      <w:r>
        <w:t>Apply the connected idea: Attention as weighted information selection</w:t>
      </w:r>
    </w:p>
    <w:p>
      <w:r>
        <w:t>Suppose V3 is a future position unavailable to the current autoregressive step. The mask excludes it. For this supplied-weight example, renormalise the permitted weights 0.5 and 0.25 by their total 0.75, giving 2/3 and 1/3. The result becomes [4/3,4/3]. Merely setting V3’s contribution to zero while keeping the old weights produces [1,1], whose retained weights sum to 0.75; that is not the specified normalised combination.</w:t>
      </w:r>
    </w:p>
    <w:p>
      <w:r>
        <w:t>If every position is excluded, the permitted total is zero. This contract reports no available value rather than dividing by zero or silently using a future position. A real implementation needs its own documented handling for empty masks. A causal mask restricts information paths; it does not make retrieved content factually trustworthy.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Tokens and Context</w:t>
      </w:r>
    </w:p>
    <w:p>
      <w:r>
        <w:t>A fictional assistant has a small context budget for answering an event-capacity question.</w:t>
      </w:r>
    </w:p>
    <w:p>
      <w:pPr>
        <w:pStyle w:val="Heading3"/>
      </w:pPr>
      <w:r>
        <w:t>The facts we will use</w:t>
      </w:r>
    </w:p>
    <w:p>
      <w:r>
        <w:t>Total budget 100 toy tokens; instructions 20, question 10, output reserve 25. Evidence capacity is the remainder.</w:t>
      </w:r>
    </w:p>
    <w:p>
      <w:r>
        <w:t>Current capacity record A costs 18; its safety exception B costs 20; unrelated slogan C costs 12. A says 20 seats; B caps this event at 12.</w:t>
      </w:r>
    </w:p>
    <w:p>
      <w:r>
        <w:drawing>
          <wp:inline xmlns:a="http://schemas.openxmlformats.org/drawingml/2006/main" xmlns:pic="http://schemas.openxmlformats.org/drawingml/2006/picture">
            <wp:extent cx="5486400" cy="4234543"/>
            <wp:docPr id="15" name="Picture 15" descr="Context budget allocations"/>
            <wp:cNvGraphicFramePr>
              <a:graphicFrameLocks noChangeAspect="1"/>
            </wp:cNvGraphicFramePr>
            <a:graphic>
              <a:graphicData uri="http://schemas.openxmlformats.org/drawingml/2006/picture">
                <pic:pic>
                  <pic:nvPicPr>
                    <pic:cNvPr id="0" name="academy-detail-ai-3-3.png"/>
                    <pic:cNvPicPr/>
                  </pic:nvPicPr>
                  <pic:blipFill>
                    <a:blip r:embed="rId22"/>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11302" cy="5943600"/>
            <wp:docPr id="16" name="Picture 16" descr="Tokens and Context. Compute budget: 100−20−10−25=45 evidence tokens.. Select relevant pair: A+B costs 38 and preserves the capacity exception.. Reject incomplete shortcut: A+C costs 30 but leaves out the exception that changes the answer.. Answer with scope: For this event, the declared cap is 12, with both A and B retained."/>
            <wp:cNvGraphicFramePr>
              <a:graphicFrameLocks noChangeAspect="1"/>
            </wp:cNvGraphicFramePr>
            <a:graphic>
              <a:graphicData uri="http://schemas.openxmlformats.org/drawingml/2006/picture">
                <pic:pic>
                  <pic:nvPicPr>
                    <pic:cNvPr id="0" name="academy-visual-ai-3-3.png"/>
                    <pic:cNvPicPr/>
                  </pic:nvPicPr>
                  <pic:blipFill>
                    <a:blip r:embed="rId23"/>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budget</w:t>
            </w:r>
          </w:p>
        </w:tc>
        <w:tc>
          <w:tcPr>
            <w:tcW w:type="dxa" w:w="5112"/>
          </w:tcPr>
          <w:p>
            <w:r>
              <w:t>100−20−10−25=45 evidence tokens.</w:t>
            </w:r>
          </w:p>
        </w:tc>
      </w:tr>
      <w:tr>
        <w:tc>
          <w:tcPr>
            <w:tcW w:type="dxa" w:w="5112"/>
          </w:tcPr>
          <w:p>
            <w:r>
              <w:t>2. Select relevant pair</w:t>
            </w:r>
          </w:p>
        </w:tc>
        <w:tc>
          <w:tcPr>
            <w:tcW w:type="dxa" w:w="5112"/>
          </w:tcPr>
          <w:p>
            <w:r>
              <w:t>A+B costs 38 and preserves the capacity exception.</w:t>
            </w:r>
          </w:p>
        </w:tc>
      </w:tr>
      <w:tr>
        <w:tc>
          <w:tcPr>
            <w:tcW w:type="dxa" w:w="5112"/>
          </w:tcPr>
          <w:p>
            <w:r>
              <w:t>3. Reject incomplete shortcut</w:t>
            </w:r>
          </w:p>
        </w:tc>
        <w:tc>
          <w:tcPr>
            <w:tcW w:type="dxa" w:w="5112"/>
          </w:tcPr>
          <w:p>
            <w:r>
              <w:t>A+C costs 30 but leaves out the exception that changes the answer.</w:t>
            </w:r>
          </w:p>
        </w:tc>
      </w:tr>
      <w:tr>
        <w:tc>
          <w:tcPr>
            <w:tcW w:type="dxa" w:w="5112"/>
          </w:tcPr>
          <w:p>
            <w:r>
              <w:t>4. Answer with scope</w:t>
            </w:r>
          </w:p>
        </w:tc>
        <w:tc>
          <w:tcPr>
            <w:tcW w:type="dxa" w:w="5112"/>
          </w:tcPr>
          <w:p>
            <w:r>
              <w:t>For this event, the declared cap is 12, with both A and B retained.</w:t>
            </w:r>
          </w:p>
        </w:tc>
      </w:tr>
    </w:tbl>
    <w:p>
      <w:r>
        <w:t>Match each pictured step to the supplied facts. This is a worked teaching case, not an independent assessment.</w:t>
      </w:r>
    </w:p>
    <w:p>
      <w:pPr>
        <w:pStyle w:val="Heading3"/>
      </w:pPr>
      <w:r>
        <w:t>Why this result follows</w:t>
      </w:r>
    </w:p>
    <w:p>
      <w:r>
        <w:t>A context window limits how much information is available in one model call. Selecting the shortest passage is not always sufficient: an exception can change the meaning of a general statement. Keep the relevant source relationship visible. Toy token costs are supplied here; real token counts depend on the model’s tokenizer.</w:t>
      </w:r>
    </w:p>
    <w:p>
      <w:pPr>
        <w:pStyle w:val="Heading3"/>
      </w:pPr>
      <w:r>
        <w:t>What this example does not establish</w:t>
      </w:r>
    </w:p>
    <w:p>
      <w:r>
        <w:t>Fitting in context does not guarantee attention, correct interpretation or accurate generation.</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Tokens and Context"/>
            <wp:cNvGraphicFramePr>
              <a:graphicFrameLocks noChangeAspect="1"/>
            </wp:cNvGraphicFramePr>
            <a:graphic>
              <a:graphicData uri="http://schemas.openxmlformats.org/drawingml/2006/picture">
                <pic:pic>
                  <pic:nvPicPr>
                    <pic:cNvPr id="0" name="b7de6419040d4496539d48a6e0c7eb81cdfcf27ca9fcb8f51bc31500dc0a6bb3.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If room approval is missing, do not infer it from capacity. If sources conflict without a documented current version, report the conflict or ask the responsible person. Keep the requested claim, budget calculation, selected source IDs and unresolved facts in the record. This classroom accounting develops the reasoning without needing a live model.</w:t>
      </w:r>
    </w:p>
    <w:p>
      <w:pPr>
        <w:pStyle w:val="Heading3"/>
      </w:pPr>
      <w:r>
        <w:t>Exit: A is unavailable and B gives only room capacity. Write a response that reports the supported fact without claiming the meeting is approved there.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Attention as weighted information selection</w:t>
      </w:r>
    </w:p>
    <w:p>
      <w:r>
        <w:t>A large weight means a large coefficient in this particular weighted sum. It is not a complete explanation of the whole network, which may contain other heads, transformations and residual paths. It also does not establish that the high-weight source is true. Trace the actual values and downstream use before making a broader claim.</w:t>
      </w:r>
    </w:p>
    <w:p>
      <w:pPr>
        <w:pStyle w:val="Heading3"/>
      </w:pPr>
      <w:r>
        <w:t>Exit: a team says a 0.9 attention weight proves a document is correct and allows following its instructions. Explain the two unsupported inferences.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8" name="Picture 18" descr="Logic tracing graphic for Tokens and Context"/>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5"/>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Supported total 80, fixed instructions 15, question 10 and reserved output 15 leave 40 units. Two complete relevant passages cost 18 and 22, fitting exactly. A third irrelevant passage costs 8; adding it would exceed the stated total. A short summary can reduce size but must retain claim-supporting qualifiers and be checked against the original.</w:t>
      </w:r>
    </w:p>
    <w:p>
      <w:pPr>
        <w:pStyle w:val="Heading3"/>
      </w:pPr>
      <w:r>
        <w:t>Guided: calculate the available evidence units and explain why exact fit does not prove answer correctness.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Attention as weighted information selection</w:t>
      </w:r>
    </w:p>
    <w:p>
      <w:r>
        <w:t>Supported values A=[6,0], B=[0,3], weights 1/3 and 2/3. Their weighted combination is [2,2]. Masking B leaves A with normalised weight 1 and result [6,0]. This is a different information set, not a numerical repair to the original result.</w:t>
      </w:r>
    </w:p>
    <w:p>
      <w:pPr>
        <w:pStyle w:val="Heading3"/>
      </w:pPr>
      <w:r>
        <w:t>Guided: compute both results and explain why a masked-out source must not influence the combination.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Choose complete support</w:t>
      </w:r>
    </w:p>
    <w:p>
      <w:r>
        <w:t>Use workbook W2 for the connected example “Context limits and evidence selection”.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Context limits and evidence selection. Proposed explanation: “Token count equals word count”.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Attention as weighted information selection</w:t>
      </w:r>
    </w:p>
    <w:p>
      <w:r>
        <w:t>Use its named workbook W2. Identify the given inputs, try the middle steps with less help, then explain your trace. Check this claim before group discussion: Attention copies the highest-weight token</w:t>
      </w:r>
    </w:p>
    <w:p>
      <w:pPr>
        <w:pStyle w:val="Heading3"/>
      </w:pPr>
      <w:r>
        <w:t>Explain the picture</w:t>
      </w:r>
    </w:p>
    <w:p>
      <w:r>
        <w:t>Can A alone justify answering 20 seats after the exception is known?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Tokens and Context"/>
            <wp:cNvGraphicFramePr>
              <a:graphicFrameLocks noChangeAspect="1"/>
            </wp:cNvGraphicFramePr>
            <a:graphic>
              <a:graphicData uri="http://schemas.openxmlformats.org/drawingml/2006/picture">
                <pic:pic>
                  <pic:nvPicPr>
                    <pic:cNvPr id="0" name="3b6927759e14692bbd6fea9c33d48c54be799316d84f1eedfbfa36c5a7ca67db.png"/>
                    <pic:cNvPicPr/>
                  </pic:nvPicPr>
                  <pic:blipFill>
                    <a:blip r:embed="rId26"/>
                    <a:stretch>
                      <a:fillRect/>
                    </a:stretch>
                  </pic:blipFill>
                  <pic:spPr>
                    <a:xfrm>
                      <a:off x="0" y="0"/>
                      <a:ext cx="5486400" cy="1901952"/>
                    </a:xfrm>
                    <a:prstGeom prst="rect"/>
                  </pic:spPr>
                </pic:pic>
              </a:graphicData>
            </a:graphic>
          </wp:inline>
        </w:drawing>
      </w:r>
    </w:p>
    <w:p>
      <w:r>
        <w:t>Tokenize names, punctuation, emojis, and compound words; then hide different context cards and compare predicted continuations.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Tokens and Context"/>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Tokens and Context"/>
            <wp:cNvGraphicFramePr>
              <a:graphicFrameLocks noChangeAspect="1"/>
            </wp:cNvGraphicFramePr>
            <a:graphic>
              <a:graphicData uri="http://schemas.openxmlformats.org/drawingml/2006/picture">
                <pic:pic>
                  <pic:nvPicPr>
                    <pic:cNvPr id="0" name="6c4d662c0dda25f644ee8475ae36ba47bbd40e4175839a6d39cc200a5328284f.png"/>
                    <pic:cNvPicPr/>
                  </pic:nvPicPr>
                  <pic:blipFill>
                    <a:blip r:embed="rId28"/>
                    <a:stretch>
                      <a:fillRect/>
                    </a:stretch>
                  </pic:blipFill>
                  <pic:spPr>
                    <a:xfrm>
                      <a:off x="0" y="0"/>
                      <a:ext cx="5486400" cy="1901952"/>
                    </a:xfrm>
                    <a:prstGeom prst="rect"/>
                  </pic:spPr>
                </pic:pic>
              </a:graphicData>
            </a:graphic>
          </wp:inline>
        </w:drawing>
      </w:r>
    </w:p>
    <w:p>
      <w:r>
        <w:t>THIS WEEK’S CHECKPOINT  Keep the learner’s question, approved source excerpt, and output rules inside the active context.</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Design Study Buddy retrieval to preserve current facts, exceptions and source identity within its context budget.</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Tokens and Context"/>
            <wp:cNvGraphicFramePr>
              <a:graphicFrameLocks noChangeAspect="1"/>
            </wp:cNvGraphicFramePr>
            <a:graphic>
              <a:graphicData uri="http://schemas.openxmlformats.org/drawingml/2006/picture">
                <pic:pic>
                  <pic:nvPicPr>
                    <pic:cNvPr id="0" name="7cdde0b3186c05abde2cc4bf081c2aa64c0844d3e1e830d1e0a31c21c1c096d1.png"/>
                    <pic:cNvPicPr/>
                  </pic:nvPicPr>
                  <pic:blipFill>
                    <a:blip r:embed="rId29"/>
                    <a:stretch>
                      <a:fillRect/>
                    </a:stretch>
                  </pic:blipFill>
                  <pic:spPr>
                    <a:xfrm>
                      <a:off x="0" y="0"/>
                      <a:ext cx="5486400" cy="1901952"/>
                    </a:xfrm>
                    <a:prstGeom prst="rect"/>
                  </pic:spPr>
                </pic:pic>
              </a:graphicData>
            </a:graphic>
          </wp:inline>
        </w:drawing>
      </w:r>
    </w:p>
    <w:p>
      <w:r>
        <w:t>CHALLENGE  Tokenize text, remove context, and predict failure changes.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3 Worked case</w:t>
      </w:r>
    </w:p>
    <w:p>
      <w:r>
        <w:t>Use the supplied details to practise the weekly concept before attempting the independent question. This case extends the illustrated lesson.</w:t>
      </w:r>
    </w:p>
    <w:p>
      <w:pPr>
        <w:pStyle w:val="Heading3"/>
      </w:pPr>
      <w:r>
        <w:t>The situation</w:t>
      </w:r>
    </w:p>
    <w:p>
      <w:r>
        <w:t>A toy window holds eight tokens; prompt uses six and quotation uses three.</w:t>
      </w:r>
    </w:p>
    <w:p>
      <w:pPr>
        <w:pStyle w:val="Heading3"/>
      </w:pPr>
      <w:r>
        <w:t>The question</w:t>
      </w:r>
    </w:p>
    <w:p>
      <w:r>
        <w:t>Does it fit? What should be preserved?</w:t>
      </w:r>
    </w:p>
    <w:p>
      <w:pPr>
        <w:pStyle w:val="Heading3"/>
      </w:pPr>
      <w:r>
        <w:t>Worked explanation</w:t>
      </w:r>
    </w:p>
    <w:p>
      <w:r>
        <w:t>Nine exceeds eight. Shorten or select material while preserving essential instructions and evidence. Real systems also have output-budget rules.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Nine requested tokens exceed eight spaces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Prompt</w:t>
            </w:r>
          </w:p>
        </w:tc>
        <w:tc>
          <w:tcPr>
            <w:tcW w:type="dxa" w:w="5112"/>
          </w:tcPr>
          <w:p>
            <w:r>
              <w:t>6</w:t>
            </w:r>
          </w:p>
        </w:tc>
      </w:tr>
      <w:tr>
        <w:tc>
          <w:tcPr>
            <w:tcW w:type="dxa" w:w="5112"/>
          </w:tcPr>
          <w:p>
            <w:r>
              <w:t>Quotation</w:t>
            </w:r>
          </w:p>
        </w:tc>
        <w:tc>
          <w:tcPr>
            <w:tcW w:type="dxa" w:w="5112"/>
          </w:tcPr>
          <w:p>
            <w:r>
              <w:t>3</w:t>
            </w:r>
          </w:p>
        </w:tc>
      </w:tr>
      <w:tr>
        <w:tc>
          <w:tcPr>
            <w:tcW w:type="dxa" w:w="5112"/>
          </w:tcPr>
          <w:p>
            <w:r>
              <w:t>Capacity</w:t>
            </w:r>
          </w:p>
        </w:tc>
        <w:tc>
          <w:tcPr>
            <w:tcW w:type="dxa" w:w="5112"/>
          </w:tcPr>
          <w:p>
            <w:r>
              <w:t>8</w:t>
            </w:r>
          </w:p>
        </w:tc>
      </w:tr>
    </w:tbl>
    <w:p>
      <w:r>
        <w:t>A toy window holds eight tokens; prompt uses six and quotation uses three.</w:t>
      </w:r>
    </w:p>
    <w:p>
      <w:r>
        <w:t>Does it fit? What should be preserved?</w:t>
      </w:r>
    </w:p>
    <w:p>
      <w:r>
        <w:t>Nine exceeds eight. Shorten or select material while preserving essential instructions and evidence. Real systems also have output-budget rules.</w:t>
      </w:r>
    </w:p>
    <w:p>
      <w:pPr>
        <w:pStyle w:val="Heading1"/>
      </w:pPr>
      <w:r>
        <w:t>14. Try a new case independently</w:t>
      </w:r>
    </w:p>
    <w:p>
      <w:pPr>
        <w:pStyle w:val="Heading3"/>
      </w:pPr>
      <w:r>
        <w:t>Independent case: Budget new evidence independently</w:t>
      </w:r>
    </w:p>
    <w:p>
      <w:r>
        <w:t>Total 120, instructions 25, question 15, output reserve 30. Source D is current approval, cost 28; E is current capacity, cost 22; F is old approval, cost 18. Compute capacity, compare D+E and E+F, and state an honest fallback if D is missing.</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 Independent application</w:t>
      </w:r>
    </w:p>
    <w:p>
      <w:r>
        <w:t>Close the worked explanation. Apply the idea to this different question without copying.</w:t>
      </w:r>
    </w:p>
    <w:p>
      <w:r>
        <w:t>A system can use only the last two messages. Message 1 says use centimetres; messages 2 and 3 discuss plants. What instruction may be lost, and how can the next request repair this?</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Keep the learner’s question, approved source excerpt, and output rules inside the active context.</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toy system allows 12 tokens total for input and reserved output. Instructions use 3, a source uses 7 and the planned answer needs 4. Compute the excess and propose a revision that preserves evidence.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