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ai-3/11</w:t>
      </w:r>
    </w:p>
    <w:p>
      <w:pPr>
        <w:pStyle w:val="Title"/>
      </w:pPr>
      <w:r>
        <w:t>Visual Composition</w:t>
      </w:r>
    </w:p>
    <w:p>
      <w:r>
        <w:t>Project: Verified Study Buddy</w:t>
      </w:r>
    </w:p>
    <w:p>
      <w:pPr>
        <w:pStyle w:val="Heading1"/>
      </w:pPr>
      <w:r>
        <w:t>Before you start</w:t>
      </w:r>
    </w:p>
    <w:p>
      <w:r>
        <w:t>Week 5: separate multiple constraints in a prompt.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Generation Models. Give an example and a mistake that the idea helps you avoid.</w:t>
      </w:r>
    </w:p>
    <w:p>
      <w:r>
        <w:t>Without opening the old lesson, explain one key idea from Structured Output and Schemas. Give an example and a mistake that the idea helps you avoid.</w:t>
      </w:r>
    </w:p>
    <w:p>
      <w:r>
        <w:t>Without opening the old lesson, explain one key idea from Prompt as a Contract. Give an example and a mistake that the idea helps you avoid.</w:t>
      </w:r>
    </w:p>
    <w:p>
      <w:r>
        <w:t>After trying, check the relevant lesson or ask your teacher. Change the part of your explanation that the evidence shows was wrong.</w:t>
      </w:r>
    </w:p>
    <w:p>
      <w:r>
        <w:t>Week 11: Visual Composition</w:t>
      </w:r>
    </w:p>
    <w:p>
      <w:r>
        <w:t>Subject, setting, framing, relationships, and constraints shape an image request.</w:t>
      </w:r>
    </w:p>
    <w:p>
      <w:r>
        <w:drawing>
          <wp:inline xmlns:a="http://schemas.openxmlformats.org/drawingml/2006/main" xmlns:pic="http://schemas.openxmlformats.org/drawingml/2006/picture">
            <wp:extent cx="2942705" cy="2942705"/>
            <wp:docPr id="1" name="Picture 1" descr="Week 11 illustration: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CREATOR MISSION</w:t>
      </w:r>
    </w:p>
    <w:p>
      <w:r>
        <w:t>Diagnose and repair three ambiguous visual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check object counts and spatial relations as separate visual requirements.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visual composition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isual Composition"/>
            <wp:cNvGraphicFramePr>
              <a:graphicFrameLocks noChangeAspect="1"/>
            </wp:cNvGraphicFramePr>
            <a:graphic>
              <a:graphicData uri="http://schemas.openxmlformats.org/drawingml/2006/picture">
                <pic:pic>
                  <pic:nvPicPr>
                    <pic:cNvPr id="0" name="d5df6062ed744741dd84e04a0de1b249c84c4977a51c27594ceb0833af6cff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isual Composition"/>
            <wp:cNvGraphicFramePr>
              <a:graphicFrameLocks noChangeAspect="1"/>
            </wp:cNvGraphicFramePr>
            <a:graphic>
              <a:graphicData uri="http://schemas.openxmlformats.org/drawingml/2006/picture">
                <pic:pic>
                  <pic:nvPicPr>
                    <pic:cNvPr id="0" name="302fabe636160e066461d2bd51df57bef5168d38659d73ac11b59fb11de67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isual Composition"/>
            <wp:cNvGraphicFramePr>
              <a:graphicFrameLocks noChangeAspect="1"/>
            </wp:cNvGraphicFramePr>
            <a:graphic>
              <a:graphicData uri="http://schemas.openxmlformats.org/drawingml/2006/picture">
                <pic:pic>
                  <pic:nvPicPr>
                    <pic:cNvPr id="0" name="ea7dba7074d0b4bc48baf24463536befdbafcc1ad1f6309d7d31719231957d04.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ubject"/>
            <wp:cNvGraphicFramePr>
              <a:graphicFrameLocks noChangeAspect="1"/>
            </wp:cNvGraphicFramePr>
            <a:graphic>
              <a:graphicData uri="http://schemas.openxmlformats.org/drawingml/2006/picture">
                <pic:pic>
                  <pic:nvPicPr>
                    <pic:cNvPr id="0" name="04f3dad5c4c55af403e231fb79d10bbd54c83bb8e8a52173f776c5de42ddcf3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tting"/>
            <wp:cNvGraphicFramePr>
              <a:graphicFrameLocks noChangeAspect="1"/>
            </wp:cNvGraphicFramePr>
            <a:graphic>
              <a:graphicData uri="http://schemas.openxmlformats.org/drawingml/2006/picture">
                <pic:pic>
                  <pic:nvPicPr>
                    <pic:cNvPr id="0" name="c45de87571bd17cbebba5ce79eb70cde7c3a4c252a13258ef891a32674b00c2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raming"/>
            <wp:cNvGraphicFramePr>
              <a:graphicFrameLocks noChangeAspect="1"/>
            </wp:cNvGraphicFramePr>
            <a:graphic>
              <a:graphicData uri="http://schemas.openxmlformats.org/drawingml/2006/picture">
                <pic:pic>
                  <pic:nvPicPr>
                    <pic:cNvPr id="0" name="3b74e7f0a7041a8ceb0d5886bbcf9d834119780cb93ce8e935172deef6c9840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lationship"/>
            <wp:cNvGraphicFramePr>
              <a:graphicFrameLocks noChangeAspect="1"/>
            </wp:cNvGraphicFramePr>
            <a:graphic>
              <a:graphicData uri="http://schemas.openxmlformats.org/drawingml/2006/picture">
                <pic:pic>
                  <pic:nvPicPr>
                    <pic:cNvPr id="0" name="ad0f478a02a2be9849e2045c9d740f3daad8ce192fc1379d589c0999c37b598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subject</w:t>
            </w:r>
          </w:p>
        </w:tc>
        <w:tc>
          <w:tcPr>
            <w:tcW w:type="dxa" w:w="3408"/>
          </w:tcPr>
          <w:p>
            <w:r>
              <w:t>The main person, object or topic represented in an image or piece of content.</w:t>
            </w:r>
          </w:p>
        </w:tc>
        <w:tc>
          <w:tcPr>
            <w:tcW w:type="dxa" w:w="3408"/>
          </w:tcPr>
          <w:p>
            <w:r/>
          </w:p>
        </w:tc>
      </w:tr>
      <w:tr>
        <w:tc>
          <w:tcPr>
            <w:tcW w:type="dxa" w:w="3408"/>
          </w:tcPr>
          <w:p>
            <w:r>
              <w:t>setting</w:t>
            </w:r>
          </w:p>
        </w:tc>
        <w:tc>
          <w:tcPr>
            <w:tcW w:type="dxa" w:w="3408"/>
          </w:tcPr>
          <w:p>
            <w:r>
              <w:t>A chosen configuration value that affects how a system operates.</w:t>
            </w:r>
          </w:p>
        </w:tc>
        <w:tc>
          <w:tcPr>
            <w:tcW w:type="dxa" w:w="3408"/>
          </w:tcPr>
          <w:p>
            <w:r/>
          </w:p>
        </w:tc>
      </w:tr>
      <w:tr>
        <w:tc>
          <w:tcPr>
            <w:tcW w:type="dxa" w:w="3408"/>
          </w:tcPr>
          <w:p>
            <w:r>
              <w:t>framing</w:t>
            </w:r>
          </w:p>
        </w:tc>
        <w:tc>
          <w:tcPr>
            <w:tcW w:type="dxa" w:w="3408"/>
          </w:tcPr>
          <w:p>
            <w:r>
              <w:t>The way a question or situation is presented, which can influence interpretation.</w:t>
            </w:r>
          </w:p>
        </w:tc>
        <w:tc>
          <w:tcPr>
            <w:tcW w:type="dxa" w:w="3408"/>
          </w:tcPr>
          <w:p>
            <w:r/>
          </w:p>
        </w:tc>
      </w:tr>
      <w:tr>
        <w:tc>
          <w:tcPr>
            <w:tcW w:type="dxa" w:w="3408"/>
          </w:tcPr>
          <w:p>
            <w:r>
              <w:t>relationship</w:t>
            </w:r>
          </w:p>
        </w:tc>
        <w:tc>
          <w:tcPr>
            <w:tcW w:type="dxa" w:w="3408"/>
          </w:tcPr>
          <w:p>
            <w:r>
              <w:t>A connection between quantities, events or concepts; an association need not be causal.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isual Composition"/>
            <wp:cNvGraphicFramePr>
              <a:graphicFrameLocks noChangeAspect="1"/>
            </wp:cNvGraphicFramePr>
            <a:graphic>
              <a:graphicData uri="http://schemas.openxmlformats.org/drawingml/2006/picture">
                <pic:pic>
                  <pic:nvPicPr>
                    <pic:cNvPr id="0" name="beaad6c4b4baef0248a8ff0aca07e38fd5189eb6ff534896fa6eb2a7ede95039.png"/>
                    <pic:cNvPicPr/>
                  </pic:nvPicPr>
                  <pic:blipFill>
                    <a:blip r:embed="rId21"/>
                    <a:stretch>
                      <a:fillRect/>
                    </a:stretch>
                  </pic:blipFill>
                  <pic:spPr>
                    <a:xfrm>
                      <a:off x="0" y="0"/>
                      <a:ext cx="5486400" cy="2377440"/>
                    </a:xfrm>
                    <a:prstGeom prst="rect"/>
                  </pic:spPr>
                </pic:pic>
              </a:graphicData>
            </a:graphic>
          </wp:inline>
        </w:drawing>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5" name="Picture 15"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22"/>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isual Composition"/>
            <wp:cNvGraphicFramePr>
              <a:graphicFrameLocks noChangeAspect="1"/>
            </wp:cNvGraphicFramePr>
            <a:graphic>
              <a:graphicData uri="http://schemas.openxmlformats.org/drawingml/2006/picture">
                <pic:pic>
                  <pic:nvPicPr>
                    <pic:cNvPr id="0" name="98539670e5d406324163797a236c71ed970f0518e3fed9fc4f46f0153e28960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isual Composi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checks pass after that single change, and what still needs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isual Composition"/>
            <wp:cNvGraphicFramePr>
              <a:graphicFrameLocks noChangeAspect="1"/>
            </wp:cNvGraphicFramePr>
            <a:graphic>
              <a:graphicData uri="http://schemas.openxmlformats.org/drawingml/2006/picture">
                <pic:pic>
                  <pic:nvPicPr>
                    <pic:cNvPr id="0" name="2c62197effeb97a5ed2ae3dcff7a9e2f5d0c414d03330d863edede9d28b37245.png"/>
                    <pic:cNvPicPr/>
                  </pic:nvPicPr>
                  <pic:blipFill>
                    <a:blip r:embed="rId25"/>
                    <a:stretch>
                      <a:fillRect/>
                    </a:stretch>
                  </pic:blipFill>
                  <pic:spPr>
                    <a:xfrm>
                      <a:off x="0" y="0"/>
                      <a:ext cx="5486400" cy="1901952"/>
                    </a:xfrm>
                    <a:prstGeom prst="rect"/>
                  </pic:spPr>
                </pic:pic>
              </a:graphicData>
            </a:graphic>
          </wp:inline>
        </w:drawing>
      </w:r>
    </w:p>
    <w:p>
      <w:r>
        <w:t>Repair three prompts by changing one missing composition element; sketch expected framing before generation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isual Composi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isual Composition"/>
            <wp:cNvGraphicFramePr>
              <a:graphicFrameLocks noChangeAspect="1"/>
            </wp:cNvGraphicFramePr>
            <a:graphic>
              <a:graphicData uri="http://schemas.openxmlformats.org/drawingml/2006/picture">
                <pic:pic>
                  <pic:nvPicPr>
                    <pic:cNvPr id="0" name="e18e79df350ed9bdc245b44d0d595cee26b2548304bc64fe6b5fa770788b9d7c.png"/>
                    <pic:cNvPicPr/>
                  </pic:nvPicPr>
                  <pic:blipFill>
                    <a:blip r:embed="rId27"/>
                    <a:stretch>
                      <a:fillRect/>
                    </a:stretch>
                  </pic:blipFill>
                  <pic:spPr>
                    <a:xfrm>
                      <a:off x="0" y="0"/>
                      <a:ext cx="5486400" cy="1901952"/>
                    </a:xfrm>
                    <a:prstGeom prst="rect"/>
                  </pic:spPr>
                </pic:pic>
              </a:graphicData>
            </a:graphic>
          </wp:inline>
        </w:drawing>
      </w:r>
    </w:p>
    <w:p>
      <w:r>
        <w:t>THIS WEEK’S CHECKPOINT  Create age-fit explanatory visuals with labeled purpose and no invented documentary evidence.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Create Study Buddy diagram rubrics covering counts, readable labels, containment, order and meaningful arrow direction.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isual Composition"/>
            <wp:cNvGraphicFramePr>
              <a:graphicFrameLocks noChangeAspect="1"/>
            </wp:cNvGraphicFramePr>
            <a:graphic>
              <a:graphicData uri="http://schemas.openxmlformats.org/drawingml/2006/picture">
                <pic:pic>
                  <pic:nvPicPr>
                    <pic:cNvPr id="0" name="351e271a1d03f6f86e8be3612cd9d48423a90290c284e035afec5fb8f92c60d4.png"/>
                    <pic:cNvPicPr/>
                  </pic:nvPicPr>
                  <pic:blipFill>
                    <a:blip r:embed="rId28"/>
                    <a:stretch>
                      <a:fillRect/>
                    </a:stretch>
                  </pic:blipFill>
                  <pic:spPr>
                    <a:xfrm>
                      <a:off x="0" y="0"/>
                      <a:ext cx="5486400" cy="1901952"/>
                    </a:xfrm>
                    <a:prstGeom prst="rect"/>
                  </pic:spPr>
                </pic:pic>
              </a:graphicData>
            </a:graphic>
          </wp:inline>
        </w:drawing>
      </w:r>
    </w:p>
    <w:p>
      <w:r>
        <w:t>CHALLENGE  Diagnose and repair three ambiguous visual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Brief: large tree left, small bicycle right, open sky above. Output puts bicycle left.</w:t>
      </w:r>
    </w:p>
    <w:p>
      <w:pPr>
        <w:pStyle w:val="Heading3"/>
      </w:pPr>
      <w:r>
        <w:t>The question</w:t>
      </w:r>
    </w:p>
    <w:p>
      <w:r>
        <w:t>Create a visual checklist.</w:t>
      </w:r>
    </w:p>
    <w:p>
      <w:pPr>
        <w:pStyle w:val="Heading3"/>
      </w:pPr>
      <w:r>
        <w:t>Worked explanation</w:t>
      </w:r>
    </w:p>
    <w:p>
      <w:r>
        <w:t>Check subjects, relative size, positions and sky separately. The position violates composition even if subjects exist.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Map the brief to regions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Upper region</w:t>
            </w:r>
          </w:p>
        </w:tc>
        <w:tc>
          <w:tcPr>
            <w:tcW w:type="dxa" w:w="5112"/>
          </w:tcPr>
          <w:p>
            <w:r>
              <w:t>Open sky</w:t>
            </w:r>
          </w:p>
        </w:tc>
      </w:tr>
      <w:tr>
        <w:tc>
          <w:tcPr>
            <w:tcW w:type="dxa" w:w="5112"/>
          </w:tcPr>
          <w:p>
            <w:r>
              <w:t>Left foreground</w:t>
            </w:r>
          </w:p>
        </w:tc>
        <w:tc>
          <w:tcPr>
            <w:tcW w:type="dxa" w:w="5112"/>
          </w:tcPr>
          <w:p>
            <w:r>
              <w:t>Large tree</w:t>
            </w:r>
          </w:p>
        </w:tc>
      </w:tr>
      <w:tr>
        <w:tc>
          <w:tcPr>
            <w:tcW w:type="dxa" w:w="5112"/>
          </w:tcPr>
          <w:p>
            <w:r>
              <w:t>Right foreground</w:t>
            </w:r>
          </w:p>
        </w:tc>
        <w:tc>
          <w:tcPr>
            <w:tcW w:type="dxa" w:w="5112"/>
          </w:tcPr>
          <w:p>
            <w:r>
              <w:t>Small bicycle</w:t>
            </w:r>
          </w:p>
        </w:tc>
      </w:tr>
    </w:tbl>
    <w:p>
      <w:r>
        <w:t>Brief: large tree left, small bicycle right, open sky above. Output puts bicycle left.</w:t>
      </w:r>
    </w:p>
    <w:p>
      <w:r>
        <w:t>Create a visual checklist.</w:t>
      </w:r>
    </w:p>
    <w:p>
      <w:r>
        <w:t>Check subjects, relative size, positions and sky separately. The position violates composition even if subjects exist.</w:t>
      </w:r>
    </w:p>
    <w:p>
      <w:pPr>
        <w:pStyle w:val="Heading1"/>
      </w:pPr>
      <w:r>
        <w:t>14. Try a new case independently</w:t>
      </w:r>
    </w:p>
    <w:p>
      <w:pPr>
        <w:pStyle w:val="Heading3"/>
      </w:pPr>
      <w:r>
        <w:t>Independent case: Changed independent case</w:t>
      </w:r>
    </w:p>
    <w:p>
      <w:r>
        <w:t>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poster puts pale yellow labels on white and hides the main object behind decorations. Suggest two revisions and how to check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age-fit explanatory visuals with labeled purpose and no invented documentary evidence.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brief requires two trees, a bench between them and the sun upper-right. A result has all objects but the bench is left of both trees. Write a spatial test that detects this.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