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ai-3/15</w:t>
      </w:r>
    </w:p>
    <w:p>
      <w:pPr>
        <w:pStyle w:val="Title"/>
      </w:pPr>
      <w:r>
        <w:t>Source Quality</w:t>
      </w:r>
    </w:p>
    <w:p>
      <w:r>
        <w:t>Project: Verified Study Buddy</w:t>
      </w:r>
    </w:p>
    <w:p>
      <w:pPr>
        <w:pStyle w:val="Heading1"/>
      </w:pPr>
      <w:r>
        <w:t>Before you start</w:t>
      </w:r>
    </w:p>
    <w:p>
      <w:r>
        <w:t>AI-2 Week 29: identify the exact record that supports a claim.</w:t>
      </w:r>
    </w:p>
    <w:p>
      <w:pPr>
        <w:pStyle w:val="Heading1"/>
      </w:pPr>
      <w:r>
        <w:t>01. Your mission</w:t>
      </w:r>
    </w:p>
    <w:p>
      <w:pPr>
        <w:pStyle w:val="Heading3"/>
      </w:pPr>
      <w:r>
        <w:t>Your learning target</w:t>
      </w:r>
    </w:p>
    <w:p>
      <w:r>
        <w:t>I can explain the mechanism and terminology of conflicting and time-sensitive sources.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Hallucination Failure Types. Give an example and a mistake that the idea helps you avoid.</w:t>
      </w:r>
    </w:p>
    <w:p>
      <w:r>
        <w:t>Without opening the old lesson, explain one key idea from Speech and Audio Systems. Give an example and a mistake that the idea helps you avoid.</w:t>
      </w:r>
    </w:p>
    <w:p>
      <w:r>
        <w:t>Without opening the old lesson, explain one key idea from Prompt Evaluation. Give an example and a mistake that the idea helps you avoid.</w:t>
      </w:r>
    </w:p>
    <w:p>
      <w:r>
        <w:t>After trying, check the relevant lesson or ask your teacher. Change the part of your explanation that the evidence shows was wrong.</w:t>
      </w:r>
    </w:p>
    <w:p>
      <w:r>
        <w:t>Week 15: Source Quality</w:t>
      </w:r>
    </w:p>
    <w:p>
      <w:r>
        <w:t>Authority, relevance, currency, and independence determine source usefulness.</w:t>
      </w:r>
    </w:p>
    <w:p>
      <w:r>
        <w:drawing>
          <wp:inline xmlns:a="http://schemas.openxmlformats.org/drawingml/2006/main" xmlns:pic="http://schemas.openxmlformats.org/drawingml/2006/picture">
            <wp:extent cx="2942705" cy="2942705"/>
            <wp:docPr id="1" name="Picture 1" descr="Week 15 illustration: Source Quality"/>
            <wp:cNvGraphicFramePr>
              <a:graphicFrameLocks noChangeAspect="1"/>
            </wp:cNvGraphicFramePr>
            <a:graphic>
              <a:graphicData uri="http://schemas.openxmlformats.org/drawingml/2006/picture">
                <pic:pic>
                  <pic:nvPicPr>
                    <pic:cNvPr id="0" name="a504a618ad50391930b6d73c86ae8533d1dc7235b3c887af50bdcf4f91c05de6.png"/>
                    <pic:cNvPicPr/>
                  </pic:nvPicPr>
                  <pic:blipFill>
                    <a:blip r:embed="rId9"/>
                    <a:stretch>
                      <a:fillRect/>
                    </a:stretch>
                  </pic:blipFill>
                  <pic:spPr>
                    <a:xfrm>
                      <a:off x="0" y="0"/>
                      <a:ext cx="2942705" cy="2942705"/>
                    </a:xfrm>
                    <a:prstGeom prst="rect"/>
                  </pic:spPr>
                </pic:pic>
              </a:graphicData>
            </a:graphic>
          </wp:inline>
        </w:drawing>
      </w:r>
    </w:p>
    <w:p>
      <w:r>
        <w:t>CREATOR MISSION</w:t>
      </w:r>
    </w:p>
    <w:p>
      <w:r>
        <w:t>Rank four sources for a low-risk school research question.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Abstention and clarification. Explain why a recorded result needs its input conditions and evidence source before it can support a claim.</w:t>
      </w:r>
    </w:p>
    <w:p>
      <w:pPr>
        <w:pStyle w:val="Heading3"/>
      </w:pPr>
      <w:r>
        <w:t>This week’s end goal</w:t>
      </w:r>
    </w:p>
    <w:p>
      <w:r>
        <w:t>By the end, I can apply source authority and effective dates rather than choosing the newest-looking upload.</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ource Quality"/>
            <wp:cNvGraphicFramePr>
              <a:graphicFrameLocks noChangeAspect="1"/>
            </wp:cNvGraphicFramePr>
            <a:graphic>
              <a:graphicData uri="http://schemas.openxmlformats.org/drawingml/2006/picture">
                <pic:pic>
                  <pic:nvPicPr>
                    <pic:cNvPr id="0" name="a504a618ad50391930b6d73c86ae8533d1dc7235b3c887af50bdcf4f91c05de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source quality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facts require a stated time and source-version policy. Current-looking records can conflict without enough evidence to choose between them.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ource Quality"/>
            <wp:cNvGraphicFramePr>
              <a:graphicFrameLocks noChangeAspect="1"/>
            </wp:cNvGraphicFramePr>
            <a:graphic>
              <a:graphicData uri="http://schemas.openxmlformats.org/drawingml/2006/picture">
                <pic:pic>
                  <pic:nvPicPr>
                    <pic:cNvPr id="0" name="80b7f3e3ac5a587b624a53b1742a0ff1c8ebcd30ce47758049222509288e4936.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ource Quality"/>
            <wp:cNvGraphicFramePr>
              <a:graphicFrameLocks noChangeAspect="1"/>
            </wp:cNvGraphicFramePr>
            <a:graphic>
              <a:graphicData uri="http://schemas.openxmlformats.org/drawingml/2006/picture">
                <pic:pic>
                  <pic:nvPicPr>
                    <pic:cNvPr id="0" name="7317182bcca9a7df0cc19e7ba832289386c089f67ce1538227ecae68c879d69b.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ource Quality"/>
            <wp:cNvGraphicFramePr>
              <a:graphicFrameLocks noChangeAspect="1"/>
            </wp:cNvGraphicFramePr>
            <a:graphic>
              <a:graphicData uri="http://schemas.openxmlformats.org/drawingml/2006/picture">
                <pic:pic>
                  <pic:nvPicPr>
                    <pic:cNvPr id="0" name="f78425a1ed6bef98d82e5ef5b809b73678c9f201af908b8a6d91925d6eb9e0e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toy task a signed amendment supersedes the referenced original from its effective time. Keep both records. A newer timestamp alone has no authority unless the policy grants it.</w:t>
      </w:r>
    </w:p>
    <w:p>
      <w:pPr>
        <w:pStyle w:val="Heading3"/>
      </w:pPr>
      <w:r>
        <w:t>Conflicting and time-sensitive sources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Notice N says room A from Monday. Signed amendment M references N and changes to B effective Wednesday. Query asks Tuesday, then Thursday.</w:t>
            </w:r>
          </w:p>
        </w:tc>
        <w:tc>
          <w:tcPr>
            <w:tcW w:type="dxa" w:w="3408"/>
          </w:tcPr>
          <w:p>
            <w:r>
              <w:t>For this toy task a signed amendment supersedes the referenced original from its effective time. Keep both records. A newer timestamp alone has no authority unless the policy grants it.</w:t>
            </w:r>
          </w:p>
        </w:tc>
        <w:tc>
          <w:tcPr>
            <w:tcW w:type="dxa" w:w="3408"/>
          </w:tcPr>
          <w:p>
            <w:r>
              <w:t>Tuesday uses A; Thursday uses B. The amendment effective time, not merely upload order, determines the change.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signed amendment C explicitly revokes B effective day 12 and restores Hall 1.</w:t>
      </w:r>
    </w:p>
    <w:p>
      <w:r>
        <w:t>Prediction: Day 9 stays Hall 3; day 13 becomes Hall 1.</w:t>
      </w:r>
    </w:p>
    <w:p>
      <w:r>
        <w:t>Reason: The new authoritative change applies from its stated effective date, not retroactively.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uthority"/>
            <wp:cNvGraphicFramePr>
              <a:graphicFrameLocks noChangeAspect="1"/>
            </wp:cNvGraphicFramePr>
            <a:graphic>
              <a:graphicData uri="http://schemas.openxmlformats.org/drawingml/2006/picture">
                <pic:pic>
                  <pic:nvPicPr>
                    <pic:cNvPr id="0" name="782d023bf3df5e09de4688d8ddc8fdb1de1f07c65d9dd3f85d877fb67c075bf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levance"/>
            <wp:cNvGraphicFramePr>
              <a:graphicFrameLocks noChangeAspect="1"/>
            </wp:cNvGraphicFramePr>
            <a:graphic>
              <a:graphicData uri="http://schemas.openxmlformats.org/drawingml/2006/picture">
                <pic:pic>
                  <pic:nvPicPr>
                    <pic:cNvPr id="0" name="fa4f30abdf80dcaad0bfdbd3cf13ad7d9ec8385b4385726c4077543ab040783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urrency"/>
            <wp:cNvGraphicFramePr>
              <a:graphicFrameLocks noChangeAspect="1"/>
            </wp:cNvGraphicFramePr>
            <a:graphic>
              <a:graphicData uri="http://schemas.openxmlformats.org/drawingml/2006/picture">
                <pic:pic>
                  <pic:nvPicPr>
                    <pic:cNvPr id="0" name="3f2185295b39e03738496f99e913cf0a1a707e93c1371fa944d15f5ec96e117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dependence"/>
            <wp:cNvGraphicFramePr>
              <a:graphicFrameLocks noChangeAspect="1"/>
            </wp:cNvGraphicFramePr>
            <a:graphic>
              <a:graphicData uri="http://schemas.openxmlformats.org/drawingml/2006/picture">
                <pic:pic>
                  <pic:nvPicPr>
                    <pic:cNvPr id="0" name="9c3164a8fd5245f28aa99eda088f2bc8c1d182909ccf95c2d1bd1443a246433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authority</w:t>
            </w:r>
          </w:p>
        </w:tc>
        <w:tc>
          <w:tcPr>
            <w:tcW w:type="dxa" w:w="3408"/>
          </w:tcPr>
          <w:p>
            <w:r>
              <w:t>A person or source with relevant responsibility or evidence for a particular decision or claim.</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currency</w:t>
            </w:r>
          </w:p>
        </w:tc>
        <w:tc>
          <w:tcPr>
            <w:tcW w:type="dxa" w:w="3408"/>
          </w:tcPr>
          <w:p>
            <w:r>
              <w:t>How up to date information is for the task and time concerned.</w:t>
            </w:r>
          </w:p>
        </w:tc>
        <w:tc>
          <w:tcPr>
            <w:tcW w:type="dxa" w:w="3408"/>
          </w:tcPr>
          <w:p>
            <w:r/>
          </w:p>
        </w:tc>
      </w:tr>
      <w:tr>
        <w:tc>
          <w:tcPr>
            <w:tcW w:type="dxa" w:w="3408"/>
          </w:tcPr>
          <w:p>
            <w:r>
              <w:t>independence</w:t>
            </w:r>
          </w:p>
        </w:tc>
        <w:tc>
          <w:tcPr>
            <w:tcW w:type="dxa" w:w="3408"/>
          </w:tcPr>
          <w:p>
            <w:r>
              <w:t>Separation from influences relevant to a judgment, such as keeping final test cases out of model selection.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ource Quality"/>
            <wp:cNvGraphicFramePr>
              <a:graphicFrameLocks noChangeAspect="1"/>
            </wp:cNvGraphicFramePr>
            <a:graphic>
              <a:graphicData uri="http://schemas.openxmlformats.org/drawingml/2006/picture">
                <pic:pic>
                  <pic:nvPicPr>
                    <pic:cNvPr id="0" name="a51676e266f289c29dd99f96213260db076d88346835823d033e91de213ede09.png"/>
                    <pic:cNvPicPr/>
                  </pic:nvPicPr>
                  <pic:blipFill>
                    <a:blip r:embed="rId21"/>
                    <a:stretch>
                      <a:fillRect/>
                    </a:stretch>
                  </pic:blipFill>
                  <pic:spPr>
                    <a:xfrm>
                      <a:off x="0" y="0"/>
                      <a:ext cx="5486400" cy="2377440"/>
                    </a:xfrm>
                    <a:prstGeom prst="rect"/>
                  </pic:spPr>
                </pic:pic>
              </a:graphicData>
            </a:graphic>
          </wp:inline>
        </w:drawing>
      </w:r>
    </w:p>
    <w:p>
      <w:r>
        <w:t>1. A museum page may be authoritative for artifact facts.</w:t>
      </w:r>
    </w:p>
    <w:p>
      <w:r>
        <w:t>2. A current weather agency page matters more for today’s storm.</w:t>
      </w:r>
    </w:p>
    <w:p>
      <w:r>
        <w:t>3. Two articles copying one press release are not independent.</w:t>
      </w:r>
    </w:p>
    <w:p>
      <w:r>
        <w:t>4. Rank sources by the actual claim—not by appearance alone.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Notice N says room A from Monday. Signed amendment M references N and changes to B effective Wednesday. Query asks Tuesday, then Thursday.</w:t>
      </w:r>
    </w:p>
    <w:p>
      <w:r>
        <w:t>Tuesday uses A; Thursday uses B. The amendment effective time, not merely upload order, determines the change.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Source Quality</w:t>
      </w:r>
    </w:p>
    <w:p>
      <w:r>
        <w:t>A fictional Study Buddy answers which room a club is authorised to use.</w:t>
      </w:r>
    </w:p>
    <w:p>
      <w:pPr>
        <w:pStyle w:val="Heading3"/>
      </w:pPr>
      <w:r>
        <w:t>The facts we will use</w:t>
      </w:r>
    </w:p>
    <w:p>
      <w:r>
        <w:t>Signed notice A: Hall 1 from day 1. Signed amendment B references A and changes to Hall 3 effective day 8.</w:t>
      </w:r>
    </w:p>
    <w:p>
      <w: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5" name="Picture 15"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r>
        <w:t>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w:t>
      </w:r>
    </w:p>
    <w:p>
      <w:pPr>
        <w:pStyle w:val="Heading3"/>
      </w:pPr>
      <w:r>
        <w:t>What this example does not establish</w:t>
      </w:r>
    </w:p>
    <w:p>
      <w:r>
        <w:t>Authority is declared in this fictional case; real conflicting sources may require the responsible owner’s review.</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ource Quality"/>
            <wp:cNvGraphicFramePr>
              <a:graphicFrameLocks noChangeAspect="1"/>
            </wp:cNvGraphicFramePr>
            <a:graphic>
              <a:graphicData uri="http://schemas.openxmlformats.org/drawingml/2006/picture">
                <pic:pic>
                  <pic:nvPicPr>
                    <pic:cNvPr id="0" name="fa5643c6aefa4d1171ed879a0a2cb5b1fbd2de508cc646f3fc564924de36f89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ource Qualit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unspecified authority or effective-time rule leaves a conflict unresolved; do not invent precedence.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“Conflicting and time-sensitive sources”.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Conflicting and time-sensitive sources.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source fields must be checked before answering day 9?</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ource Quality"/>
            <wp:cNvGraphicFramePr>
              <a:graphicFrameLocks noChangeAspect="1"/>
            </wp:cNvGraphicFramePr>
            <a:graphic>
              <a:graphicData uri="http://schemas.openxmlformats.org/drawingml/2006/picture">
                <pic:pic>
                  <pic:nvPicPr>
                    <pic:cNvPr id="0" name="86257a36af0f43635d938d089ef65da38da010ddf68e8aa4ddd6db0b7576e1b1.png"/>
                    <pic:cNvPicPr/>
                  </pic:nvPicPr>
                  <pic:blipFill>
                    <a:blip r:embed="rId25"/>
                    <a:stretch>
                      <a:fillRect/>
                    </a:stretch>
                  </pic:blipFill>
                  <pic:spPr>
                    <a:xfrm>
                      <a:off x="0" y="0"/>
                      <a:ext cx="5486400" cy="1901952"/>
                    </a:xfrm>
                    <a:prstGeom prst="rect"/>
                  </pic:spPr>
                </pic:pic>
              </a:graphicData>
            </a:graphic>
          </wp:inline>
        </w:drawing>
      </w:r>
    </w:p>
    <w:p>
      <w:r>
        <w:t>Score four sources against all criteria, trace origin links, and defend the best pair for one precise claim.</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ource Qualit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ource Quality"/>
            <wp:cNvGraphicFramePr>
              <a:graphicFrameLocks noChangeAspect="1"/>
            </wp:cNvGraphicFramePr>
            <a:graphic>
              <a:graphicData uri="http://schemas.openxmlformats.org/drawingml/2006/picture">
                <pic:pic>
                  <pic:nvPicPr>
                    <pic:cNvPr id="0" name="cfc2c815225553071d869ff8f4d7086cb7a5babb0bbc1dbe3ab1d7c86cf37d3c.png"/>
                    <pic:cNvPicPr/>
                  </pic:nvPicPr>
                  <pic:blipFill>
                    <a:blip r:embed="rId27"/>
                    <a:stretch>
                      <a:fillRect/>
                    </a:stretch>
                  </pic:blipFill>
                  <pic:spPr>
                    <a:xfrm>
                      <a:off x="0" y="0"/>
                      <a:ext cx="5486400" cy="1901952"/>
                    </a:xfrm>
                    <a:prstGeom prst="rect"/>
                  </pic:spPr>
                </pic:pic>
              </a:graphicData>
            </a:graphic>
          </wp:inline>
        </w:drawing>
      </w:r>
    </w:p>
    <w:p>
      <w:r>
        <w:t>THIS WEEK’S CHECKPOINT  Use an approved source list and record why each source fits the learner’s question.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Store Study Buddy source identity, version, authority and effective date, especially for schedules or changing classroom rules.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ource Quality"/>
            <wp:cNvGraphicFramePr>
              <a:graphicFrameLocks noChangeAspect="1"/>
            </wp:cNvGraphicFramePr>
            <a:graphic>
              <a:graphicData uri="http://schemas.openxmlformats.org/drawingml/2006/picture">
                <pic:pic>
                  <pic:nvPicPr>
                    <pic:cNvPr id="0" name="6ef95f7a6797dbef60f8a1e4213bf98973a607a4ffcea47bdfaae61d8f20a502.png"/>
                    <pic:cNvPicPr/>
                  </pic:nvPicPr>
                  <pic:blipFill>
                    <a:blip r:embed="rId28"/>
                    <a:stretch>
                      <a:fillRect/>
                    </a:stretch>
                  </pic:blipFill>
                  <pic:spPr>
                    <a:xfrm>
                      <a:off x="0" y="0"/>
                      <a:ext cx="5486400" cy="1901952"/>
                    </a:xfrm>
                    <a:prstGeom prst="rect"/>
                  </pic:spPr>
                </pic:pic>
              </a:graphicData>
            </a:graphic>
          </wp:inline>
        </w:drawing>
      </w:r>
    </w:p>
    <w:p>
      <w:r>
        <w:t>CHALLENGE  Rank four sources for a low-risk school research question.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An original experiment report and an anonymous unlinked summary describe a method.</w:t>
      </w:r>
    </w:p>
    <w:p>
      <w:pPr>
        <w:pStyle w:val="Heading3"/>
      </w:pPr>
      <w:r>
        <w:t>The question</w:t>
      </w:r>
    </w:p>
    <w:p>
      <w:r>
        <w:t>Where should verification begin?</w:t>
      </w:r>
    </w:p>
    <w:p>
      <w:pPr>
        <w:pStyle w:val="Heading3"/>
      </w:pPr>
      <w:r>
        <w:t>Worked explanation</w:t>
      </w:r>
    </w:p>
    <w:p>
      <w:r>
        <w:t>Read the original method, scope and limitations. Original does not mean infallible; summaries may omit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Follow a summary back to its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Summary</w:t>
            </w:r>
          </w:p>
        </w:tc>
        <w:tc>
          <w:tcPr>
            <w:tcW w:type="dxa" w:w="5112"/>
          </w:tcPr>
          <w:p>
            <w:r>
              <w:t>Identify its source</w:t>
            </w:r>
          </w:p>
        </w:tc>
      </w:tr>
      <w:tr>
        <w:tc>
          <w:tcPr>
            <w:tcW w:type="dxa" w:w="5112"/>
          </w:tcPr>
          <w:p>
            <w:r>
              <w:t>Original report</w:t>
            </w:r>
          </w:p>
        </w:tc>
        <w:tc>
          <w:tcPr>
            <w:tcW w:type="dxa" w:w="5112"/>
          </w:tcPr>
          <w:p>
            <w:r>
              <w:t>Read method and scope</w:t>
            </w:r>
          </w:p>
        </w:tc>
      </w:tr>
      <w:tr>
        <w:tc>
          <w:tcPr>
            <w:tcW w:type="dxa" w:w="5112"/>
          </w:tcPr>
          <w:p>
            <w:r>
              <w:t>Limitations</w:t>
            </w:r>
          </w:p>
        </w:tc>
        <w:tc>
          <w:tcPr>
            <w:tcW w:type="dxa" w:w="5112"/>
          </w:tcPr>
          <w:p>
            <w:r>
              <w:t>Keep conditions attached</w:t>
            </w:r>
          </w:p>
        </w:tc>
      </w:tr>
      <w:tr>
        <w:tc>
          <w:tcPr>
            <w:tcW w:type="dxa" w:w="5112"/>
          </w:tcPr>
          <w:p>
            <w:r>
              <w:t>Conclusion</w:t>
            </w:r>
          </w:p>
        </w:tc>
        <w:tc>
          <w:tcPr>
            <w:tcW w:type="dxa" w:w="5112"/>
          </w:tcPr>
          <w:p>
            <w:r>
              <w:t>State what evidence supports</w:t>
            </w:r>
          </w:p>
        </w:tc>
      </w:tr>
    </w:tbl>
    <w:p>
      <w:r>
        <w:t>An original experiment report and an anonymous unlinked summary describe a method.</w:t>
      </w:r>
    </w:p>
    <w:p>
      <w:r>
        <w:t>Where should verification begin?</w:t>
      </w:r>
    </w:p>
    <w:p>
      <w:r>
        <w:t>Read the original method, scope and limitations. Original does not mean infallible; summaries may omit conditions.</w:t>
      </w:r>
    </w:p>
    <w:p>
      <w:pPr>
        <w:pStyle w:val="Heading1"/>
      </w:pPr>
      <w:r>
        <w:t>14. Try a new case independently</w:t>
      </w:r>
    </w:p>
    <w:p>
      <w:pPr>
        <w:pStyle w:val="Heading3"/>
      </w:pPr>
      <w:r>
        <w:t>Independent case: Apply a new case independently</w:t>
      </w:r>
    </w:p>
    <w:p>
      <w:r>
        <w:t>Original allows capacity 14. Signed amendment lowers it to 9 effective day 5. Query concerns days 4 and 6. Trace both and preserve versions.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For a school's current opening time, compare an undated repost with a dated notice issued by the school. Which is the stronger starting source, and what must still be checked?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an approved source list and record why each source fits the learner’s question.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school notice updated Friday conflicts with a blog quoting Monday's notice about a room change. Which source should you inspect first, and why is newest alone not enough?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